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116D6D" w14:textId="77777777" w:rsidR="007965A2" w:rsidRPr="001C1C2B" w:rsidRDefault="007965A2" w:rsidP="007965A2">
      <w:pPr>
        <w:pStyle w:val="af2"/>
        <w:tabs>
          <w:tab w:val="left" w:pos="2155"/>
        </w:tabs>
        <w:spacing w:after="120"/>
        <w:ind w:left="2610" w:hanging="2610"/>
        <w:jc w:val="both"/>
        <w:rPr>
          <w:rFonts w:cs="Arial"/>
          <w:sz w:val="24"/>
          <w:szCs w:val="24"/>
        </w:rPr>
      </w:pPr>
      <w:bookmarkStart w:id="0" w:name="_Toc502932909"/>
      <w:r w:rsidRPr="001C1C2B">
        <w:rPr>
          <w:rFonts w:cs="Arial"/>
          <w:sz w:val="24"/>
          <w:szCs w:val="24"/>
        </w:rPr>
        <w:t>3GPP TSG-RAN WG4 Meeting #11</w:t>
      </w:r>
      <w:r w:rsidR="001C1C2B" w:rsidRPr="001C1C2B">
        <w:rPr>
          <w:rFonts w:cs="Arial"/>
          <w:sz w:val="24"/>
          <w:szCs w:val="24"/>
        </w:rPr>
        <w:t>3</w:t>
      </w:r>
      <w:r w:rsidRPr="001C1C2B">
        <w:rPr>
          <w:rFonts w:cs="Arial"/>
          <w:sz w:val="24"/>
          <w:szCs w:val="24"/>
        </w:rPr>
        <w:tab/>
      </w:r>
      <w:r w:rsidRPr="001C1C2B">
        <w:rPr>
          <w:rFonts w:cs="Arial"/>
          <w:sz w:val="24"/>
          <w:szCs w:val="24"/>
        </w:rPr>
        <w:tab/>
      </w:r>
      <w:r w:rsidRPr="001C1C2B">
        <w:rPr>
          <w:rFonts w:cs="Arial"/>
          <w:sz w:val="24"/>
          <w:szCs w:val="24"/>
        </w:rPr>
        <w:tab/>
        <w:t xml:space="preserve">                                                </w:t>
      </w:r>
      <w:r w:rsidR="001C1C2B" w:rsidRPr="001C1C2B">
        <w:rPr>
          <w:rFonts w:cs="Arial"/>
          <w:sz w:val="24"/>
          <w:szCs w:val="24"/>
        </w:rPr>
        <w:t xml:space="preserve">   </w:t>
      </w:r>
      <w:r w:rsidRPr="001C1C2B">
        <w:rPr>
          <w:rFonts w:cs="Arial"/>
          <w:sz w:val="24"/>
          <w:szCs w:val="24"/>
        </w:rPr>
        <w:t>R4-241</w:t>
      </w:r>
      <w:r w:rsidR="001C1C2B" w:rsidRPr="001C1C2B">
        <w:rPr>
          <w:rFonts w:cs="Arial"/>
          <w:sz w:val="24"/>
          <w:szCs w:val="24"/>
        </w:rPr>
        <w:t>7938</w:t>
      </w:r>
    </w:p>
    <w:p w14:paraId="1B9FCA9D" w14:textId="77777777" w:rsidR="001C1C2B" w:rsidRPr="001C1C2B" w:rsidRDefault="001C1C2B" w:rsidP="007965A2">
      <w:pPr>
        <w:pStyle w:val="af2"/>
        <w:tabs>
          <w:tab w:val="left" w:pos="2155"/>
        </w:tabs>
        <w:spacing w:after="120"/>
        <w:ind w:left="2610" w:hanging="2610"/>
        <w:jc w:val="both"/>
        <w:rPr>
          <w:rFonts w:cs="Arial"/>
          <w:sz w:val="24"/>
          <w:szCs w:val="24"/>
          <w:lang w:eastAsia="zh-CN"/>
        </w:rPr>
      </w:pPr>
      <w:r w:rsidRPr="001C1C2B">
        <w:rPr>
          <w:rFonts w:cs="Arial"/>
          <w:sz w:val="24"/>
          <w:szCs w:val="24"/>
          <w:lang w:eastAsia="zh-CN"/>
        </w:rPr>
        <w:t>Orlando, US, 18th – 22nd November, 2024</w:t>
      </w:r>
    </w:p>
    <w:p w14:paraId="5C2C9E9C" w14:textId="77777777" w:rsidR="007965A2" w:rsidRPr="001C1C2B" w:rsidRDefault="007965A2" w:rsidP="007965A2">
      <w:pPr>
        <w:pStyle w:val="af2"/>
        <w:tabs>
          <w:tab w:val="left" w:pos="2155"/>
        </w:tabs>
        <w:spacing w:after="120"/>
        <w:ind w:left="2610" w:hanging="2610"/>
        <w:jc w:val="both"/>
        <w:rPr>
          <w:rFonts w:hint="eastAsia"/>
          <w:sz w:val="24"/>
          <w:szCs w:val="24"/>
          <w:lang w:val="en-US" w:eastAsia="zh-CN"/>
        </w:rPr>
      </w:pPr>
      <w:r w:rsidRPr="001C1C2B">
        <w:rPr>
          <w:sz w:val="24"/>
          <w:szCs w:val="24"/>
          <w:lang w:eastAsia="zh-CN"/>
        </w:rPr>
        <w:t>Agenda Item:</w:t>
      </w:r>
      <w:r w:rsidRPr="001C1C2B">
        <w:rPr>
          <w:rFonts w:hint="eastAsia"/>
          <w:sz w:val="24"/>
          <w:szCs w:val="24"/>
          <w:lang w:eastAsia="zh-CN"/>
        </w:rPr>
        <w:tab/>
      </w:r>
      <w:r w:rsidR="001C1C2B" w:rsidRPr="001C1C2B">
        <w:rPr>
          <w:b w:val="0"/>
          <w:sz w:val="24"/>
          <w:szCs w:val="24"/>
          <w:lang w:val="en-US" w:eastAsia="zh-CN"/>
        </w:rPr>
        <w:t>7</w:t>
      </w:r>
      <w:r w:rsidRPr="001C1C2B">
        <w:rPr>
          <w:rFonts w:hint="eastAsia"/>
          <w:b w:val="0"/>
          <w:sz w:val="24"/>
          <w:szCs w:val="24"/>
          <w:lang w:val="en-US" w:eastAsia="zh-CN"/>
        </w:rPr>
        <w:t>.</w:t>
      </w:r>
      <w:r w:rsidRPr="001C1C2B">
        <w:rPr>
          <w:b w:val="0"/>
          <w:sz w:val="24"/>
          <w:szCs w:val="24"/>
          <w:lang w:val="en-US" w:eastAsia="zh-CN"/>
        </w:rPr>
        <w:t>1.1.1.1</w:t>
      </w:r>
    </w:p>
    <w:p w14:paraId="36CD9BA4" w14:textId="77777777" w:rsidR="00571C34" w:rsidRPr="001C1C2B" w:rsidRDefault="00571C34">
      <w:pPr>
        <w:pStyle w:val="af2"/>
        <w:tabs>
          <w:tab w:val="left" w:pos="2165"/>
        </w:tabs>
        <w:spacing w:after="120"/>
        <w:ind w:left="2127" w:hanging="2127"/>
        <w:jc w:val="both"/>
        <w:rPr>
          <w:rFonts w:hint="eastAsia"/>
          <w:sz w:val="24"/>
          <w:szCs w:val="24"/>
          <w:lang w:val="en-US" w:eastAsia="zh-CN"/>
        </w:rPr>
      </w:pPr>
      <w:r w:rsidRPr="001C1C2B">
        <w:rPr>
          <w:sz w:val="24"/>
          <w:szCs w:val="24"/>
          <w:lang w:eastAsia="zh-CN"/>
        </w:rPr>
        <w:t>Source</w:t>
      </w:r>
      <w:r w:rsidRPr="001C1C2B">
        <w:rPr>
          <w:rFonts w:hint="eastAsia"/>
          <w:sz w:val="24"/>
          <w:szCs w:val="24"/>
          <w:lang w:eastAsia="zh-CN"/>
        </w:rPr>
        <w:t>:</w:t>
      </w:r>
      <w:r w:rsidRPr="001C1C2B">
        <w:rPr>
          <w:rFonts w:hint="eastAsia"/>
          <w:sz w:val="24"/>
          <w:szCs w:val="24"/>
          <w:lang w:eastAsia="zh-CN"/>
        </w:rPr>
        <w:tab/>
      </w:r>
      <w:r w:rsidR="004C40FC" w:rsidRPr="001C1C2B">
        <w:rPr>
          <w:b w:val="0"/>
          <w:sz w:val="24"/>
          <w:szCs w:val="24"/>
          <w:lang w:eastAsia="zh-CN"/>
        </w:rPr>
        <w:t>Xiaomi</w:t>
      </w:r>
    </w:p>
    <w:p w14:paraId="08D8BBAC" w14:textId="77777777" w:rsidR="00571C34" w:rsidRPr="00543D75" w:rsidRDefault="00571C34">
      <w:pPr>
        <w:pStyle w:val="af2"/>
        <w:spacing w:after="120"/>
        <w:ind w:left="2127" w:hanging="2127"/>
        <w:jc w:val="both"/>
        <w:rPr>
          <w:rFonts w:hint="eastAsia"/>
          <w:b w:val="0"/>
          <w:lang w:val="en-US" w:eastAsia="zh-CN"/>
        </w:rPr>
      </w:pPr>
      <w:r w:rsidRPr="00543D75">
        <w:rPr>
          <w:sz w:val="24"/>
          <w:szCs w:val="24"/>
          <w:lang w:val="en-US" w:eastAsia="zh-CN"/>
        </w:rPr>
        <w:t>Title:</w:t>
      </w:r>
      <w:r w:rsidRPr="00543D75">
        <w:rPr>
          <w:rFonts w:hint="eastAsia"/>
          <w:sz w:val="24"/>
          <w:szCs w:val="24"/>
          <w:lang w:val="en-US" w:eastAsia="zh-CN"/>
        </w:rPr>
        <w:tab/>
      </w:r>
      <w:r w:rsidR="0079062C" w:rsidRPr="0079062C">
        <w:rPr>
          <w:b w:val="0"/>
          <w:sz w:val="24"/>
          <w:szCs w:val="24"/>
          <w:lang w:val="en-US" w:eastAsia="zh-CN"/>
        </w:rPr>
        <w:t>Discussion on</w:t>
      </w:r>
      <w:r w:rsidR="00590D3D">
        <w:rPr>
          <w:b w:val="0"/>
          <w:sz w:val="24"/>
          <w:szCs w:val="24"/>
          <w:lang w:val="en-US" w:eastAsia="zh-CN"/>
        </w:rPr>
        <w:t xml:space="preserve"> </w:t>
      </w:r>
      <w:r w:rsidR="00590D3D" w:rsidRPr="00590D3D">
        <w:rPr>
          <w:b w:val="0"/>
          <w:sz w:val="24"/>
          <w:szCs w:val="24"/>
          <w:lang w:val="en-US" w:eastAsia="zh-CN"/>
        </w:rPr>
        <w:t xml:space="preserve">General aspects </w:t>
      </w:r>
      <w:r w:rsidR="00590D3D">
        <w:rPr>
          <w:b w:val="0"/>
          <w:sz w:val="24"/>
          <w:szCs w:val="24"/>
          <w:lang w:val="en-US" w:eastAsia="zh-CN"/>
        </w:rPr>
        <w:t>for High power</w:t>
      </w:r>
      <w:r w:rsidR="0079062C" w:rsidRPr="0079062C">
        <w:rPr>
          <w:b w:val="0"/>
          <w:sz w:val="24"/>
          <w:szCs w:val="24"/>
          <w:lang w:val="en-US" w:eastAsia="zh-CN"/>
        </w:rPr>
        <w:t xml:space="preserve"> UE</w:t>
      </w:r>
    </w:p>
    <w:p w14:paraId="7DA467D5" w14:textId="77777777" w:rsidR="00571C34" w:rsidRPr="00543D75" w:rsidRDefault="00571C34">
      <w:pPr>
        <w:pStyle w:val="af2"/>
        <w:tabs>
          <w:tab w:val="left" w:pos="2160"/>
        </w:tabs>
        <w:spacing w:after="120"/>
        <w:ind w:left="2610" w:hanging="2610"/>
        <w:jc w:val="both"/>
        <w:rPr>
          <w:rFonts w:hint="eastAsia"/>
          <w:sz w:val="24"/>
          <w:szCs w:val="24"/>
          <w:lang w:val="en-US" w:eastAsia="zh-CN"/>
        </w:rPr>
      </w:pPr>
      <w:r w:rsidRPr="00543D75">
        <w:rPr>
          <w:sz w:val="24"/>
          <w:szCs w:val="24"/>
          <w:lang w:eastAsia="zh-CN"/>
        </w:rPr>
        <w:t>Document for:</w:t>
      </w:r>
      <w:r w:rsidRPr="00543D75">
        <w:rPr>
          <w:rFonts w:hint="eastAsia"/>
          <w:sz w:val="24"/>
          <w:szCs w:val="24"/>
          <w:lang w:eastAsia="zh-CN"/>
        </w:rPr>
        <w:tab/>
      </w:r>
      <w:r w:rsidR="00067E7F">
        <w:rPr>
          <w:b w:val="0"/>
          <w:sz w:val="24"/>
          <w:szCs w:val="24"/>
          <w:lang w:eastAsia="zh-CN"/>
        </w:rPr>
        <w:t>Discussion</w:t>
      </w:r>
    </w:p>
    <w:p w14:paraId="273058FB" w14:textId="77777777" w:rsidR="00571C34" w:rsidRDefault="00571C34">
      <w:pPr>
        <w:pStyle w:val="af2"/>
        <w:tabs>
          <w:tab w:val="left" w:pos="2160"/>
        </w:tabs>
        <w:spacing w:after="120"/>
        <w:jc w:val="both"/>
        <w:rPr>
          <w:rFonts w:hint="eastAsia"/>
          <w:sz w:val="20"/>
          <w:lang w:eastAsia="zh-CN"/>
        </w:rPr>
      </w:pPr>
      <w:r>
        <w:rPr>
          <w:rFonts w:hint="eastAsia"/>
          <w:sz w:val="20"/>
          <w:lang w:eastAsia="zh-CN"/>
        </w:rPr>
        <w:t xml:space="preserve"> </w:t>
      </w:r>
    </w:p>
    <w:p w14:paraId="04D25FBE" w14:textId="77777777" w:rsidR="004A7D06" w:rsidRPr="004A7D06" w:rsidRDefault="00571C34" w:rsidP="004A7D06">
      <w:pPr>
        <w:pStyle w:val="1"/>
        <w:numPr>
          <w:ilvl w:val="0"/>
          <w:numId w:val="1"/>
        </w:numPr>
        <w:tabs>
          <w:tab w:val="left" w:pos="420"/>
        </w:tabs>
        <w:spacing w:before="0" w:after="120"/>
        <w:rPr>
          <w:b/>
          <w:sz w:val="28"/>
          <w:szCs w:val="24"/>
          <w:lang w:eastAsia="zh-CN"/>
        </w:rPr>
      </w:pPr>
      <w:r>
        <w:rPr>
          <w:rFonts w:hint="eastAsia"/>
          <w:b/>
          <w:sz w:val="28"/>
          <w:szCs w:val="24"/>
          <w:lang w:eastAsia="zh-CN"/>
        </w:rPr>
        <w:t>Introduction</w:t>
      </w:r>
      <w:bookmarkStart w:id="1" w:name="OLE_LINK91"/>
      <w:bookmarkStart w:id="2" w:name="OLE_LINK90"/>
      <w:bookmarkStart w:id="3" w:name="OLE_LINK6"/>
    </w:p>
    <w:p w14:paraId="15AFA53D" w14:textId="77777777" w:rsidR="004A7D06" w:rsidRPr="0017316B" w:rsidRDefault="004A7D06" w:rsidP="00710471">
      <w:pPr>
        <w:ind w:leftChars="20" w:left="40"/>
        <w:jc w:val="both"/>
        <w:rPr>
          <w:rFonts w:hint="eastAsia"/>
          <w:lang w:eastAsia="zh-CN"/>
        </w:rPr>
      </w:pPr>
      <w:r>
        <w:rPr>
          <w:lang w:eastAsia="zh-CN"/>
        </w:rPr>
        <w:t xml:space="preserve">In general, there are two main issues need to be discussed for introducing high power </w:t>
      </w:r>
      <w:r w:rsidRPr="00B12EC0">
        <w:rPr>
          <w:lang w:eastAsia="zh-CN"/>
        </w:rPr>
        <w:t>inter-band UL NR-CA/EN-DC with 2 bands and 2Tx and/or 3Tx</w:t>
      </w:r>
      <w:r>
        <w:rPr>
          <w:lang w:eastAsia="zh-CN"/>
        </w:rPr>
        <w:t>. One is how to produce a</w:t>
      </w:r>
      <w:r w:rsidRPr="00E40129">
        <w:rPr>
          <w:szCs w:val="24"/>
          <w:lang w:eastAsia="zh-CN"/>
        </w:rPr>
        <w:t xml:space="preserve"> general rule to </w:t>
      </w:r>
      <w:r>
        <w:rPr>
          <w:szCs w:val="24"/>
          <w:lang w:eastAsia="zh-CN"/>
        </w:rPr>
        <w:t xml:space="preserve">ease the workload of defining </w:t>
      </w:r>
      <w:r w:rsidRPr="00E40129">
        <w:rPr>
          <w:szCs w:val="24"/>
          <w:lang w:eastAsia="zh-CN"/>
        </w:rPr>
        <w:t xml:space="preserve">MSD </w:t>
      </w:r>
      <w:r>
        <w:rPr>
          <w:szCs w:val="24"/>
          <w:lang w:eastAsia="zh-CN"/>
        </w:rPr>
        <w:t>requirements, the other is how to deal with SAR issue</w:t>
      </w:r>
      <w:r>
        <w:rPr>
          <w:rFonts w:hint="eastAsia"/>
          <w:szCs w:val="24"/>
          <w:lang w:eastAsia="zh-CN"/>
        </w:rPr>
        <w:t>.</w:t>
      </w:r>
      <w:r>
        <w:rPr>
          <w:szCs w:val="24"/>
          <w:lang w:eastAsia="zh-CN"/>
        </w:rPr>
        <w:t xml:space="preserve"> In previous meeting, there are some discussions on these two issues but no consensus</w:t>
      </w:r>
      <w:r>
        <w:rPr>
          <w:lang w:eastAsia="zh-CN"/>
        </w:rPr>
        <w:t>.</w:t>
      </w:r>
      <w:bookmarkStart w:id="4" w:name="_Hlk165903148"/>
      <w:r>
        <w:rPr>
          <w:rFonts w:hint="eastAsia"/>
          <w:lang w:eastAsia="zh-CN"/>
        </w:rPr>
        <w:t xml:space="preserve"> </w:t>
      </w:r>
      <w:r w:rsidRPr="00B15061">
        <w:rPr>
          <w:szCs w:val="22"/>
          <w:lang w:eastAsia="zh-CN"/>
        </w:rPr>
        <w:t xml:space="preserve">This contribution </w:t>
      </w:r>
      <w:r>
        <w:rPr>
          <w:szCs w:val="22"/>
          <w:lang w:eastAsia="zh-CN"/>
        </w:rPr>
        <w:t>continues to provide our considerations.</w:t>
      </w:r>
    </w:p>
    <w:bookmarkEnd w:id="1"/>
    <w:bookmarkEnd w:id="2"/>
    <w:bookmarkEnd w:id="3"/>
    <w:bookmarkEnd w:id="4"/>
    <w:p w14:paraId="0E62C4E5" w14:textId="77777777" w:rsidR="0021537A" w:rsidRPr="0036462B" w:rsidRDefault="00571C34" w:rsidP="007D0587">
      <w:pPr>
        <w:pStyle w:val="1"/>
        <w:numPr>
          <w:ilvl w:val="0"/>
          <w:numId w:val="1"/>
        </w:numPr>
        <w:tabs>
          <w:tab w:val="left" w:pos="420"/>
        </w:tabs>
        <w:spacing w:before="0" w:after="120"/>
        <w:rPr>
          <w:rFonts w:hint="eastAsia"/>
          <w:b/>
          <w:sz w:val="28"/>
          <w:szCs w:val="24"/>
          <w:lang w:eastAsia="zh-CN"/>
        </w:rPr>
      </w:pPr>
      <w:r>
        <w:rPr>
          <w:rFonts w:hint="eastAsia"/>
          <w:b/>
          <w:sz w:val="28"/>
          <w:szCs w:val="24"/>
          <w:lang w:eastAsia="zh-CN"/>
        </w:rPr>
        <w:t>Discussion</w:t>
      </w:r>
    </w:p>
    <w:p w14:paraId="7E282D59" w14:textId="77777777" w:rsidR="00C33F3C" w:rsidRPr="00C33F3C" w:rsidRDefault="00C33F3C" w:rsidP="007D0587">
      <w:pPr>
        <w:rPr>
          <w:b/>
          <w:bCs/>
          <w:lang w:eastAsia="zh-CN"/>
        </w:rPr>
      </w:pPr>
      <w:r w:rsidRPr="00C33F3C">
        <w:rPr>
          <w:rFonts w:hint="eastAsia"/>
          <w:b/>
          <w:bCs/>
          <w:lang w:eastAsia="zh-CN"/>
        </w:rPr>
        <w:t>M</w:t>
      </w:r>
      <w:r w:rsidRPr="00C33F3C">
        <w:rPr>
          <w:b/>
          <w:bCs/>
          <w:lang w:eastAsia="zh-CN"/>
        </w:rPr>
        <w:t>SD rules</w:t>
      </w:r>
    </w:p>
    <w:p w14:paraId="6660BD52" w14:textId="77777777" w:rsidR="00B12EC0" w:rsidRDefault="00671AEA" w:rsidP="007D0587">
      <w:pPr>
        <w:rPr>
          <w:lang w:val="en-US" w:eastAsia="zh-CN"/>
        </w:rPr>
      </w:pPr>
      <w:r>
        <w:rPr>
          <w:lang w:val="en-US" w:eastAsia="zh-CN"/>
        </w:rPr>
        <w:t xml:space="preserve">The </w:t>
      </w:r>
      <w:r w:rsidR="00823DFB">
        <w:rPr>
          <w:lang w:val="en-US" w:eastAsia="zh-CN"/>
        </w:rPr>
        <w:t>latest progress</w:t>
      </w:r>
      <w:r>
        <w:rPr>
          <w:lang w:val="en-US" w:eastAsia="zh-CN"/>
        </w:rPr>
        <w:t xml:space="preserve"> </w:t>
      </w:r>
      <w:r w:rsidR="00823DFB">
        <w:rPr>
          <w:lang w:val="en-US" w:eastAsia="zh-CN"/>
        </w:rPr>
        <w:t>on MSD rules is</w:t>
      </w:r>
      <w:r>
        <w:rPr>
          <w:lang w:val="en-US" w:eastAsia="zh-CN"/>
        </w:rPr>
        <w:t xml:space="preserve"> captured in the following WF [1] in the last meeting</w:t>
      </w:r>
      <w:r w:rsidR="001B0135">
        <w:rPr>
          <w:lang w:val="en-US" w:eastAsia="zh-CN"/>
        </w:rPr>
        <w:t>.</w:t>
      </w:r>
    </w:p>
    <w:tbl>
      <w:tblPr>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B0135" w:rsidRPr="00E40129" w14:paraId="5988C332" w14:textId="77777777" w:rsidTr="00E40129">
        <w:tc>
          <w:tcPr>
            <w:tcW w:w="9855" w:type="dxa"/>
            <w:shd w:val="clear" w:color="auto" w:fill="auto"/>
          </w:tcPr>
          <w:p w14:paraId="284BD4B9" w14:textId="77777777" w:rsidR="00C33F3C" w:rsidRPr="00FC3465" w:rsidRDefault="00C33F3C" w:rsidP="00C33F3C">
            <w:pPr>
              <w:pStyle w:val="2"/>
              <w:rPr>
                <w:sz w:val="24"/>
                <w:lang w:eastAsia="zh-CN"/>
              </w:rPr>
            </w:pPr>
            <w:r>
              <w:rPr>
                <w:sz w:val="24"/>
              </w:rPr>
              <w:t xml:space="preserve">4.1 </w:t>
            </w:r>
            <w:r w:rsidRPr="00DF2393">
              <w:rPr>
                <w:sz w:val="24"/>
              </w:rPr>
              <w:t xml:space="preserve">MSD </w:t>
            </w:r>
            <w:r>
              <w:rPr>
                <w:sz w:val="24"/>
              </w:rPr>
              <w:t>rules</w:t>
            </w:r>
          </w:p>
          <w:p w14:paraId="002C8032" w14:textId="77777777" w:rsidR="00B00F95" w:rsidRPr="00B00F95" w:rsidRDefault="00B00F95" w:rsidP="00B00F95">
            <w:pPr>
              <w:rPr>
                <w:b/>
                <w:lang w:eastAsia="zh-CN"/>
              </w:rPr>
            </w:pPr>
            <w:r w:rsidRPr="00B00F95">
              <w:rPr>
                <w:b/>
                <w:bCs/>
                <w:szCs w:val="24"/>
                <w:lang w:eastAsia="zh-CN"/>
              </w:rPr>
              <w:t xml:space="preserve">Agreement: </w:t>
            </w:r>
          </w:p>
          <w:p w14:paraId="463EC07A" w14:textId="77777777" w:rsidR="00B00F95" w:rsidRPr="00B00F95" w:rsidRDefault="00B00F95" w:rsidP="00B00F95">
            <w:pPr>
              <w:numPr>
                <w:ilvl w:val="0"/>
                <w:numId w:val="33"/>
              </w:numPr>
              <w:spacing w:after="120"/>
              <w:rPr>
                <w:szCs w:val="24"/>
                <w:lang w:eastAsia="zh-CN"/>
              </w:rPr>
            </w:pPr>
            <w:r w:rsidRPr="00B00F95">
              <w:rPr>
                <w:szCs w:val="24"/>
                <w:lang w:eastAsia="zh-CN"/>
              </w:rPr>
              <w:t xml:space="preserve">To clarify the Equations/LUT/Simplified guidelines mentioned in Option 1 and Option 3 </w:t>
            </w:r>
          </w:p>
          <w:p w14:paraId="706AD8A4" w14:textId="77777777" w:rsidR="00B00F95" w:rsidRPr="00B00F95" w:rsidRDefault="00B00F95" w:rsidP="00B00F95">
            <w:pPr>
              <w:numPr>
                <w:ilvl w:val="1"/>
                <w:numId w:val="33"/>
              </w:numPr>
              <w:spacing w:after="120"/>
              <w:rPr>
                <w:szCs w:val="24"/>
                <w:lang w:eastAsia="zh-CN"/>
              </w:rPr>
            </w:pPr>
            <w:r w:rsidRPr="00B00F95">
              <w:rPr>
                <w:szCs w:val="24"/>
                <w:lang w:eastAsia="zh-CN"/>
              </w:rPr>
              <w:t>Some examples are provided in the Annex of this WF</w:t>
            </w:r>
          </w:p>
          <w:p w14:paraId="4E060F60" w14:textId="77777777" w:rsidR="00B00F95" w:rsidRPr="00B00F95" w:rsidRDefault="00B00F95" w:rsidP="00B00F95">
            <w:pPr>
              <w:numPr>
                <w:ilvl w:val="0"/>
                <w:numId w:val="33"/>
              </w:numPr>
              <w:spacing w:after="120"/>
              <w:rPr>
                <w:rFonts w:hint="eastAsia"/>
                <w:szCs w:val="24"/>
                <w:lang w:eastAsia="zh-CN"/>
              </w:rPr>
            </w:pPr>
            <w:r w:rsidRPr="00B00F95">
              <w:rPr>
                <w:szCs w:val="24"/>
                <w:lang w:eastAsia="zh-CN"/>
              </w:rPr>
              <w:t>Other options such as Option2 are not precluded</w:t>
            </w:r>
          </w:p>
        </w:tc>
      </w:tr>
    </w:tbl>
    <w:p w14:paraId="6EB52F86" w14:textId="77777777" w:rsidR="00B12EC0" w:rsidRDefault="00B12EC0" w:rsidP="007D0587">
      <w:pPr>
        <w:rPr>
          <w:lang w:val="en-US" w:eastAsia="zh-CN"/>
        </w:rPr>
      </w:pPr>
    </w:p>
    <w:p w14:paraId="37ED2A21" w14:textId="77777777" w:rsidR="0068049A" w:rsidRDefault="00F9571D" w:rsidP="0068049A">
      <w:pPr>
        <w:rPr>
          <w:szCs w:val="24"/>
          <w:lang w:eastAsia="zh-CN"/>
        </w:rPr>
      </w:pPr>
      <w:r>
        <w:rPr>
          <w:lang w:val="en-US" w:eastAsia="zh-CN"/>
        </w:rPr>
        <w:t>As</w:t>
      </w:r>
      <w:r w:rsidR="0068049A">
        <w:rPr>
          <w:lang w:val="en-US" w:eastAsia="zh-CN"/>
        </w:rPr>
        <w:t xml:space="preserve"> defining MSD requirement is the most </w:t>
      </w:r>
      <w:r w:rsidR="0068049A" w:rsidRPr="0068049A">
        <w:rPr>
          <w:lang w:val="en-US" w:eastAsia="zh-CN"/>
        </w:rPr>
        <w:t>tedious and time-consuming</w:t>
      </w:r>
      <w:r w:rsidR="0068049A">
        <w:rPr>
          <w:lang w:val="en-US" w:eastAsia="zh-CN"/>
        </w:rPr>
        <w:t xml:space="preserve"> part when introducing high power class for inter-band CA</w:t>
      </w:r>
      <w:r w:rsidR="00040A2D">
        <w:rPr>
          <w:lang w:val="en-US" w:eastAsia="zh-CN"/>
        </w:rPr>
        <w:t xml:space="preserve"> or DC</w:t>
      </w:r>
      <w:r w:rsidR="0068049A">
        <w:rPr>
          <w:lang w:val="en-US" w:eastAsia="zh-CN"/>
        </w:rPr>
        <w:t xml:space="preserve">. </w:t>
      </w:r>
      <w:r w:rsidR="002323B4">
        <w:rPr>
          <w:lang w:val="en-US" w:eastAsia="zh-CN"/>
        </w:rPr>
        <w:t>I</w:t>
      </w:r>
      <w:r w:rsidR="0068049A">
        <w:rPr>
          <w:lang w:val="en-US" w:eastAsia="zh-CN"/>
        </w:rPr>
        <w:t>f a consensus could be achieved on simplify</w:t>
      </w:r>
      <w:r w:rsidR="00745144">
        <w:rPr>
          <w:lang w:val="en-US" w:eastAsia="zh-CN"/>
        </w:rPr>
        <w:t>ing</w:t>
      </w:r>
      <w:r w:rsidR="0068049A">
        <w:rPr>
          <w:lang w:val="en-US" w:eastAsia="zh-CN"/>
        </w:rPr>
        <w:t xml:space="preserve"> the </w:t>
      </w:r>
      <w:r w:rsidR="002323B4">
        <w:rPr>
          <w:lang w:val="en-US" w:eastAsia="zh-CN"/>
        </w:rPr>
        <w:t xml:space="preserve">method of defining MSD, it </w:t>
      </w:r>
      <w:r w:rsidR="002323B4">
        <w:rPr>
          <w:szCs w:val="24"/>
          <w:lang w:eastAsia="zh-CN"/>
        </w:rPr>
        <w:t xml:space="preserve">would heavily decrease the workload. </w:t>
      </w:r>
      <w:r>
        <w:rPr>
          <w:szCs w:val="24"/>
          <w:lang w:eastAsia="zh-CN"/>
        </w:rPr>
        <w:t>Therefore, defining a relatively simple MSD rule is very helpful to</w:t>
      </w:r>
      <w:r w:rsidR="00930442">
        <w:rPr>
          <w:szCs w:val="24"/>
          <w:lang w:eastAsia="zh-CN"/>
        </w:rPr>
        <w:t xml:space="preserve"> decrease the workload of introduction </w:t>
      </w:r>
      <w:r w:rsidR="00930442">
        <w:rPr>
          <w:lang w:val="en-US" w:eastAsia="zh-CN"/>
        </w:rPr>
        <w:t>high power class for inter-band CA or DC.</w:t>
      </w:r>
    </w:p>
    <w:p w14:paraId="207616F9" w14:textId="77777777" w:rsidR="00EB1F8E" w:rsidRPr="00113A3F" w:rsidRDefault="00930442" w:rsidP="00EB1F8E">
      <w:pPr>
        <w:rPr>
          <w:szCs w:val="24"/>
          <w:lang w:eastAsia="zh-CN"/>
        </w:rPr>
      </w:pPr>
      <w:r w:rsidRPr="00185E94">
        <w:rPr>
          <w:rFonts w:eastAsia="等线" w:hint="eastAsia"/>
          <w:szCs w:val="24"/>
          <w:lang w:eastAsia="zh-CN"/>
        </w:rPr>
        <w:t>I</w:t>
      </w:r>
      <w:r w:rsidRPr="00185E94">
        <w:rPr>
          <w:rFonts w:eastAsia="等线"/>
          <w:szCs w:val="24"/>
          <w:lang w:eastAsia="zh-CN"/>
        </w:rPr>
        <w:t>n the last meeting, the method</w:t>
      </w:r>
      <w:r w:rsidRPr="00185E94">
        <w:rPr>
          <w:rFonts w:eastAsia="等线" w:hint="eastAsia"/>
          <w:szCs w:val="24"/>
          <w:lang w:eastAsia="zh-CN"/>
        </w:rPr>
        <w:t xml:space="preserve"> </w:t>
      </w:r>
      <w:r>
        <w:rPr>
          <w:rFonts w:eastAsia="等线"/>
          <w:szCs w:val="24"/>
          <w:lang w:eastAsia="zh-CN"/>
        </w:rPr>
        <w:t>u</w:t>
      </w:r>
      <w:r w:rsidRPr="00930442">
        <w:rPr>
          <w:rFonts w:eastAsia="等线"/>
          <w:szCs w:val="24"/>
          <w:lang w:eastAsia="zh-CN"/>
        </w:rPr>
        <w:t xml:space="preserve">sing some equations or look-up tables or </w:t>
      </w:r>
      <w:r>
        <w:rPr>
          <w:rFonts w:eastAsia="等线"/>
          <w:szCs w:val="24"/>
          <w:lang w:eastAsia="zh-CN"/>
        </w:rPr>
        <w:t>simplified guidelines</w:t>
      </w:r>
      <w:r w:rsidRPr="00930442">
        <w:rPr>
          <w:rFonts w:eastAsia="等线"/>
          <w:szCs w:val="24"/>
          <w:lang w:eastAsia="zh-CN"/>
        </w:rPr>
        <w:t xml:space="preserve"> to derive </w:t>
      </w:r>
      <w:r>
        <w:rPr>
          <w:rFonts w:eastAsia="等线"/>
          <w:szCs w:val="24"/>
          <w:lang w:eastAsia="zh-CN"/>
        </w:rPr>
        <w:t>high power class</w:t>
      </w:r>
      <w:r w:rsidRPr="00930442">
        <w:rPr>
          <w:rFonts w:eastAsia="等线"/>
          <w:szCs w:val="24"/>
          <w:lang w:eastAsia="zh-CN"/>
        </w:rPr>
        <w:t xml:space="preserve"> MSD from respective PC3 MSD</w:t>
      </w:r>
      <w:r>
        <w:rPr>
          <w:rFonts w:eastAsia="等线"/>
          <w:szCs w:val="24"/>
          <w:lang w:eastAsia="zh-CN"/>
        </w:rPr>
        <w:t xml:space="preserve"> was discussed.</w:t>
      </w:r>
      <w:r w:rsidR="00521DD4">
        <w:rPr>
          <w:rFonts w:eastAsia="等线"/>
          <w:szCs w:val="24"/>
          <w:lang w:eastAsia="zh-CN"/>
        </w:rPr>
        <w:t xml:space="preserve"> </w:t>
      </w:r>
      <w:r w:rsidR="00521DD4">
        <w:rPr>
          <w:rFonts w:eastAsia="等线" w:hint="eastAsia"/>
          <w:szCs w:val="24"/>
          <w:lang w:eastAsia="zh-CN"/>
        </w:rPr>
        <w:t>From</w:t>
      </w:r>
      <w:r w:rsidR="00521DD4">
        <w:rPr>
          <w:rFonts w:eastAsia="等线"/>
          <w:szCs w:val="24"/>
          <w:lang w:eastAsia="zh-CN"/>
        </w:rPr>
        <w:t xml:space="preserve"> our perspective, we </w:t>
      </w:r>
      <w:r w:rsidR="007965A2">
        <w:rPr>
          <w:rFonts w:eastAsia="等线"/>
          <w:szCs w:val="24"/>
          <w:lang w:eastAsia="zh-CN"/>
        </w:rPr>
        <w:t>are a little pessimistic about this method. The reason is that based on our statistics and analysis mentioned in our contribution [</w:t>
      </w:r>
      <w:r w:rsidR="00EB1F8E">
        <w:rPr>
          <w:rFonts w:eastAsia="等线"/>
          <w:szCs w:val="24"/>
          <w:lang w:eastAsia="zh-CN"/>
        </w:rPr>
        <w:t>3</w:t>
      </w:r>
      <w:r w:rsidR="007965A2">
        <w:rPr>
          <w:rFonts w:eastAsia="等线"/>
          <w:szCs w:val="24"/>
          <w:lang w:eastAsia="zh-CN"/>
        </w:rPr>
        <w:t>]</w:t>
      </w:r>
      <w:r w:rsidR="00656C6C">
        <w:rPr>
          <w:rFonts w:eastAsia="等线"/>
          <w:szCs w:val="24"/>
          <w:lang w:eastAsia="zh-CN"/>
        </w:rPr>
        <w:t xml:space="preserve"> as shown in figure 1</w:t>
      </w:r>
      <w:r w:rsidR="00EB1F8E">
        <w:rPr>
          <w:rFonts w:eastAsia="等线"/>
          <w:szCs w:val="24"/>
          <w:lang w:eastAsia="zh-CN"/>
        </w:rPr>
        <w:t xml:space="preserve"> </w:t>
      </w:r>
      <w:r w:rsidR="00EB1F8E" w:rsidRPr="00A27CC4">
        <w:rPr>
          <w:szCs w:val="24"/>
          <w:lang w:eastAsia="zh-CN"/>
        </w:rPr>
        <w:t xml:space="preserve">on </w:t>
      </w:r>
      <w:r w:rsidR="00EB1F8E">
        <w:rPr>
          <w:szCs w:val="24"/>
          <w:lang w:eastAsia="zh-CN"/>
        </w:rPr>
        <w:t>band combinations which have IMD MSD requirements for both PC2 case and PC3 case in current spec</w:t>
      </w:r>
      <w:r w:rsidR="00EB1F8E">
        <w:rPr>
          <w:rFonts w:eastAsia="等线"/>
          <w:szCs w:val="24"/>
          <w:lang w:eastAsia="zh-CN"/>
        </w:rPr>
        <w:t>.</w:t>
      </w:r>
      <w:r w:rsidR="00EB1F8E" w:rsidRPr="00EB1F8E">
        <w:rPr>
          <w:szCs w:val="24"/>
          <w:lang w:eastAsia="zh-CN"/>
        </w:rPr>
        <w:t xml:space="preserve"> </w:t>
      </w:r>
      <w:r w:rsidR="00EB1F8E">
        <w:rPr>
          <w:szCs w:val="24"/>
          <w:lang w:eastAsia="zh-CN"/>
        </w:rPr>
        <w:t xml:space="preserve">it can be observed that </w:t>
      </w:r>
      <w:r w:rsidR="00EB1F8E">
        <w:rPr>
          <w:rFonts w:hint="eastAsia"/>
          <w:szCs w:val="24"/>
          <w:lang w:eastAsia="zh-CN"/>
        </w:rPr>
        <w:t>f</w:t>
      </w:r>
      <w:r w:rsidR="00EB1F8E">
        <w:rPr>
          <w:szCs w:val="24"/>
          <w:lang w:eastAsia="zh-CN"/>
        </w:rPr>
        <w:t>or the same IMD orders, the MSD difference between different band combinations vary greatly. And also, from the MSD requirements defined for specific band combination in the spec</w:t>
      </w:r>
      <w:r w:rsidR="00EB1F8E" w:rsidRPr="00113A3F">
        <w:rPr>
          <w:szCs w:val="24"/>
          <w:lang w:eastAsia="zh-CN"/>
        </w:rPr>
        <w:t>, the MSD difference between different IMD orders vary greatly</w:t>
      </w:r>
      <w:r w:rsidR="00656C6C">
        <w:rPr>
          <w:szCs w:val="24"/>
          <w:lang w:eastAsia="zh-CN"/>
        </w:rPr>
        <w:t>.</w:t>
      </w:r>
      <w:r w:rsidR="003E7361">
        <w:rPr>
          <w:szCs w:val="24"/>
          <w:lang w:eastAsia="zh-CN"/>
        </w:rPr>
        <w:t xml:space="preserve"> Consequently, it is hard to get a unify equations or l</w:t>
      </w:r>
      <w:r w:rsidR="003E7361" w:rsidRPr="00C33F3C">
        <w:rPr>
          <w:szCs w:val="24"/>
          <w:lang w:eastAsia="zh-CN"/>
        </w:rPr>
        <w:t>ook-up tables to derive PC2/PC1.5 MSD from respective PC3 MSD</w:t>
      </w:r>
      <w:r w:rsidR="003E7361">
        <w:rPr>
          <w:szCs w:val="24"/>
          <w:lang w:eastAsia="zh-CN"/>
        </w:rPr>
        <w:t xml:space="preserve"> between different band combinations.</w:t>
      </w:r>
    </w:p>
    <w:p w14:paraId="6D5BFFE8" w14:textId="59409998" w:rsidR="00006FA7" w:rsidRDefault="00441697" w:rsidP="00006FA7">
      <w:pPr>
        <w:rPr>
          <w:noProof/>
          <w:szCs w:val="24"/>
          <w:lang w:eastAsia="zh-CN"/>
        </w:rPr>
      </w:pPr>
      <w:r w:rsidRPr="00202F43">
        <w:rPr>
          <w:noProof/>
          <w:szCs w:val="24"/>
          <w:lang w:eastAsia="zh-CN"/>
        </w:rPr>
        <w:drawing>
          <wp:inline distT="0" distB="0" distL="0" distR="0" wp14:anchorId="5C135E93" wp14:editId="147B4CDE">
            <wp:extent cx="2838450" cy="1440815"/>
            <wp:effectExtent l="19050" t="1905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38450" cy="1440815"/>
                    </a:xfrm>
                    <a:prstGeom prst="rect">
                      <a:avLst/>
                    </a:prstGeom>
                    <a:noFill/>
                    <a:ln w="6350" cmpd="sng">
                      <a:solidFill>
                        <a:srgbClr val="000000"/>
                      </a:solidFill>
                      <a:miter lim="800000"/>
                      <a:headEnd/>
                      <a:tailEnd/>
                    </a:ln>
                    <a:effectLst/>
                  </pic:spPr>
                </pic:pic>
              </a:graphicData>
            </a:graphic>
          </wp:inline>
        </w:drawing>
      </w:r>
      <w:r w:rsidR="00006FA7">
        <w:rPr>
          <w:noProof/>
          <w:szCs w:val="24"/>
          <w:lang w:eastAsia="zh-CN"/>
        </w:rPr>
        <w:t xml:space="preserve">       </w:t>
      </w:r>
      <w:r w:rsidRPr="00202F43">
        <w:rPr>
          <w:noProof/>
          <w:szCs w:val="24"/>
          <w:lang w:eastAsia="zh-CN"/>
        </w:rPr>
        <w:drawing>
          <wp:inline distT="0" distB="0" distL="0" distR="0" wp14:anchorId="6E201F4A" wp14:editId="0F5C8DCD">
            <wp:extent cx="2889250" cy="1455420"/>
            <wp:effectExtent l="19050" t="19050" r="635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89250" cy="1455420"/>
                    </a:xfrm>
                    <a:prstGeom prst="rect">
                      <a:avLst/>
                    </a:prstGeom>
                    <a:noFill/>
                    <a:ln w="6350" cmpd="sng">
                      <a:solidFill>
                        <a:srgbClr val="000000"/>
                      </a:solidFill>
                      <a:miter lim="800000"/>
                      <a:headEnd/>
                      <a:tailEnd/>
                    </a:ln>
                    <a:effectLst/>
                  </pic:spPr>
                </pic:pic>
              </a:graphicData>
            </a:graphic>
          </wp:inline>
        </w:drawing>
      </w:r>
    </w:p>
    <w:p w14:paraId="7D7562FC" w14:textId="77777777" w:rsidR="00006FA7" w:rsidRDefault="00006FA7" w:rsidP="00006FA7">
      <w:pPr>
        <w:jc w:val="center"/>
        <w:rPr>
          <w:noProof/>
          <w:szCs w:val="24"/>
          <w:lang w:eastAsia="zh-CN"/>
        </w:rPr>
      </w:pPr>
      <w:r>
        <w:rPr>
          <w:noProof/>
          <w:szCs w:val="24"/>
          <w:lang w:eastAsia="zh-CN"/>
        </w:rPr>
        <w:t xml:space="preserve">1 </w:t>
      </w:r>
      <w:r>
        <w:rPr>
          <w:rFonts w:hint="eastAsia"/>
          <w:noProof/>
          <w:szCs w:val="24"/>
          <w:lang w:eastAsia="zh-CN"/>
        </w:rPr>
        <w:t>(</w:t>
      </w:r>
      <w:r>
        <w:rPr>
          <w:noProof/>
          <w:szCs w:val="24"/>
          <w:lang w:eastAsia="zh-CN"/>
        </w:rPr>
        <w:t>a)                                                                                            1 (b)</w:t>
      </w:r>
    </w:p>
    <w:p w14:paraId="1B63598E" w14:textId="4A755931" w:rsidR="00006FA7" w:rsidRDefault="00441697" w:rsidP="00006FA7">
      <w:pPr>
        <w:jc w:val="center"/>
        <w:rPr>
          <w:noProof/>
          <w:szCs w:val="24"/>
          <w:lang w:eastAsia="zh-CN"/>
        </w:rPr>
      </w:pPr>
      <w:r w:rsidRPr="00202F43">
        <w:rPr>
          <w:noProof/>
          <w:szCs w:val="24"/>
          <w:lang w:eastAsia="zh-CN"/>
        </w:rPr>
        <w:lastRenderedPageBreak/>
        <w:drawing>
          <wp:inline distT="0" distB="0" distL="0" distR="0" wp14:anchorId="615D5DAE" wp14:editId="47776548">
            <wp:extent cx="3591560" cy="1821180"/>
            <wp:effectExtent l="19050" t="19050" r="8890" b="762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91560" cy="1821180"/>
                    </a:xfrm>
                    <a:prstGeom prst="rect">
                      <a:avLst/>
                    </a:prstGeom>
                    <a:noFill/>
                    <a:ln w="6350" cmpd="sng">
                      <a:solidFill>
                        <a:srgbClr val="000000"/>
                      </a:solidFill>
                      <a:miter lim="800000"/>
                      <a:headEnd/>
                      <a:tailEnd/>
                    </a:ln>
                    <a:effectLst/>
                  </pic:spPr>
                </pic:pic>
              </a:graphicData>
            </a:graphic>
          </wp:inline>
        </w:drawing>
      </w:r>
    </w:p>
    <w:p w14:paraId="4D6F67BD" w14:textId="77777777" w:rsidR="00006FA7" w:rsidRDefault="00006FA7" w:rsidP="00006FA7">
      <w:pPr>
        <w:jc w:val="center"/>
        <w:rPr>
          <w:rFonts w:hint="eastAsia"/>
          <w:szCs w:val="24"/>
          <w:lang w:eastAsia="zh-CN"/>
        </w:rPr>
      </w:pPr>
      <w:r>
        <w:rPr>
          <w:noProof/>
          <w:szCs w:val="24"/>
          <w:lang w:eastAsia="zh-CN"/>
        </w:rPr>
        <w:t>1(c)</w:t>
      </w:r>
    </w:p>
    <w:p w14:paraId="45EB9E9E" w14:textId="77777777" w:rsidR="00006FA7" w:rsidRDefault="00006FA7" w:rsidP="00006FA7">
      <w:pPr>
        <w:jc w:val="center"/>
        <w:rPr>
          <w:rFonts w:hint="eastAsia"/>
          <w:noProof/>
          <w:szCs w:val="24"/>
          <w:lang w:eastAsia="zh-CN"/>
        </w:rPr>
      </w:pPr>
      <w:r>
        <w:rPr>
          <w:noProof/>
          <w:szCs w:val="24"/>
          <w:lang w:eastAsia="zh-CN"/>
        </w:rPr>
        <w:t>Figur 1, MSD difference between PC2 case and PC3 case</w:t>
      </w:r>
      <w:r>
        <w:rPr>
          <w:rFonts w:hint="eastAsia"/>
          <w:noProof/>
          <w:szCs w:val="24"/>
          <w:lang w:eastAsia="zh-CN"/>
        </w:rPr>
        <w:t>.</w:t>
      </w:r>
      <w:r>
        <w:rPr>
          <w:noProof/>
          <w:szCs w:val="24"/>
          <w:lang w:eastAsia="zh-CN"/>
        </w:rPr>
        <w:t xml:space="preserve"> (a) for IMD2; (b) for IMD4;</w:t>
      </w:r>
      <w:r w:rsidRPr="00F65635">
        <w:rPr>
          <w:noProof/>
          <w:szCs w:val="24"/>
          <w:lang w:eastAsia="zh-CN"/>
        </w:rPr>
        <w:t xml:space="preserve"> </w:t>
      </w:r>
      <w:r>
        <w:rPr>
          <w:noProof/>
          <w:szCs w:val="24"/>
          <w:lang w:eastAsia="zh-CN"/>
        </w:rPr>
        <w:t>(c) for IMD5</w:t>
      </w:r>
    </w:p>
    <w:p w14:paraId="7B30EEE2" w14:textId="77777777" w:rsidR="003E7361" w:rsidRPr="0026121A" w:rsidRDefault="003E7361" w:rsidP="003E7361">
      <w:pPr>
        <w:rPr>
          <w:b/>
          <w:bCs/>
          <w:szCs w:val="24"/>
          <w:lang w:eastAsia="zh-CN"/>
        </w:rPr>
      </w:pPr>
      <w:r w:rsidRPr="0026121A">
        <w:rPr>
          <w:b/>
          <w:bCs/>
          <w:lang w:val="en-US" w:eastAsia="zh-CN"/>
        </w:rPr>
        <w:t xml:space="preserve">Observation </w:t>
      </w:r>
      <w:r>
        <w:rPr>
          <w:b/>
          <w:bCs/>
          <w:lang w:val="en-US" w:eastAsia="zh-CN"/>
        </w:rPr>
        <w:t>1</w:t>
      </w:r>
      <w:r w:rsidRPr="0026121A">
        <w:rPr>
          <w:b/>
          <w:bCs/>
          <w:lang w:val="en-US" w:eastAsia="zh-CN"/>
        </w:rPr>
        <w:t xml:space="preserve">: </w:t>
      </w:r>
    </w:p>
    <w:p w14:paraId="1F494BFD" w14:textId="77777777" w:rsidR="003E7361" w:rsidRPr="0026121A" w:rsidRDefault="003E7361" w:rsidP="003E7361">
      <w:pPr>
        <w:numPr>
          <w:ilvl w:val="2"/>
          <w:numId w:val="35"/>
        </w:numPr>
        <w:rPr>
          <w:b/>
          <w:bCs/>
          <w:szCs w:val="24"/>
          <w:lang w:eastAsia="zh-CN"/>
        </w:rPr>
      </w:pPr>
      <w:r w:rsidRPr="0026121A">
        <w:rPr>
          <w:b/>
          <w:bCs/>
          <w:szCs w:val="24"/>
          <w:lang w:eastAsia="zh-CN"/>
        </w:rPr>
        <w:t xml:space="preserve">for the same band combinations, the MSD difference between different IMD orders vary greatly. </w:t>
      </w:r>
    </w:p>
    <w:p w14:paraId="59F4F45D" w14:textId="77777777" w:rsidR="003E7361" w:rsidRDefault="003E7361" w:rsidP="003E7361">
      <w:pPr>
        <w:numPr>
          <w:ilvl w:val="2"/>
          <w:numId w:val="35"/>
        </w:numPr>
        <w:rPr>
          <w:b/>
          <w:bCs/>
          <w:szCs w:val="24"/>
          <w:lang w:eastAsia="zh-CN"/>
        </w:rPr>
      </w:pPr>
      <w:r w:rsidRPr="0026121A">
        <w:rPr>
          <w:rFonts w:hint="eastAsia"/>
          <w:b/>
          <w:bCs/>
          <w:szCs w:val="24"/>
          <w:lang w:eastAsia="zh-CN"/>
        </w:rPr>
        <w:t>f</w:t>
      </w:r>
      <w:r w:rsidRPr="0026121A">
        <w:rPr>
          <w:b/>
          <w:bCs/>
          <w:szCs w:val="24"/>
          <w:lang w:eastAsia="zh-CN"/>
        </w:rPr>
        <w:t>or the same IMD orders, the MSD difference between different band combinations vary greatly.</w:t>
      </w:r>
    </w:p>
    <w:p w14:paraId="254F6A41" w14:textId="77777777" w:rsidR="00F2734F" w:rsidRDefault="00F2734F" w:rsidP="00F2734F">
      <w:pPr>
        <w:rPr>
          <w:b/>
          <w:bCs/>
          <w:lang w:val="en-US" w:eastAsia="zh-CN"/>
        </w:rPr>
      </w:pPr>
      <w:r w:rsidRPr="00F2734F">
        <w:rPr>
          <w:rFonts w:hint="eastAsia"/>
          <w:b/>
          <w:bCs/>
          <w:lang w:val="en-US" w:eastAsia="zh-CN"/>
        </w:rPr>
        <w:t>O</w:t>
      </w:r>
      <w:r w:rsidRPr="00F2734F">
        <w:rPr>
          <w:b/>
          <w:bCs/>
          <w:lang w:val="en-US" w:eastAsia="zh-CN"/>
        </w:rPr>
        <w:t>bservation 2: it is hard to get a unify equations or look-up tables to derive PC2/PC1.5 MSD from respective PC3 MSD between different band combinations</w:t>
      </w:r>
      <w:r>
        <w:rPr>
          <w:b/>
          <w:bCs/>
          <w:lang w:val="en-US" w:eastAsia="zh-CN"/>
        </w:rPr>
        <w:t>.</w:t>
      </w:r>
    </w:p>
    <w:p w14:paraId="72AC0A9D" w14:textId="77777777" w:rsidR="00604422" w:rsidRPr="00185E94" w:rsidRDefault="00604422" w:rsidP="00F2734F">
      <w:pPr>
        <w:rPr>
          <w:rFonts w:eastAsia="等线"/>
          <w:lang w:val="en-US" w:eastAsia="zh-CN"/>
        </w:rPr>
      </w:pPr>
      <w:r w:rsidRPr="00185E94">
        <w:rPr>
          <w:rFonts w:eastAsia="等线"/>
          <w:lang w:val="en-US" w:eastAsia="zh-CN"/>
        </w:rPr>
        <w:t xml:space="preserve">And consider </w:t>
      </w:r>
      <w:r w:rsidR="00C95FBA" w:rsidRPr="00185E94">
        <w:rPr>
          <w:rFonts w:eastAsia="等线"/>
          <w:lang w:val="en-US" w:eastAsia="zh-CN"/>
        </w:rPr>
        <w:t xml:space="preserve">the following observations we made in contributions [3], we still think </w:t>
      </w:r>
      <w:r w:rsidR="00F30B35" w:rsidRPr="00185E94">
        <w:rPr>
          <w:rFonts w:eastAsia="等线"/>
          <w:lang w:val="en-US" w:eastAsia="zh-CN"/>
        </w:rPr>
        <w:t xml:space="preserve">only </w:t>
      </w:r>
      <w:r w:rsidR="005775A2" w:rsidRPr="00185E94">
        <w:rPr>
          <w:rFonts w:eastAsia="等线"/>
          <w:lang w:val="en-US" w:eastAsia="zh-CN"/>
        </w:rPr>
        <w:t>the MSD requirements for default PC3 is enough.</w:t>
      </w:r>
    </w:p>
    <w:tbl>
      <w:tblPr>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04422" w:rsidRPr="00185E94" w14:paraId="252C2F57" w14:textId="77777777" w:rsidTr="00185E94">
        <w:tc>
          <w:tcPr>
            <w:tcW w:w="9855" w:type="dxa"/>
            <w:shd w:val="clear" w:color="auto" w:fill="auto"/>
          </w:tcPr>
          <w:p w14:paraId="4D20226B" w14:textId="77777777" w:rsidR="00604422" w:rsidRPr="00185E94" w:rsidRDefault="00604422" w:rsidP="00604422">
            <w:pPr>
              <w:rPr>
                <w:b/>
                <w:bCs/>
                <w:i/>
                <w:iCs/>
                <w:szCs w:val="24"/>
                <w:lang w:eastAsia="zh-CN"/>
              </w:rPr>
            </w:pPr>
            <w:r w:rsidRPr="00185E94">
              <w:rPr>
                <w:b/>
                <w:bCs/>
                <w:i/>
                <w:iCs/>
                <w:szCs w:val="24"/>
                <w:lang w:eastAsia="zh-CN"/>
              </w:rPr>
              <w:t>Observation 1: the main reason why a larger MSD is required for high power inter-band CA is that the PA performance (including PA output power and unwanted emissions outside of assigned channel bandwidth) for each band will vary greatly compared with PC3 case, because other influencing factors, such as the performance of duplexers/diplexer/triplexer, PCB isolation, and antenna isolation, remain unchanged from the PC3 case.</w:t>
            </w:r>
          </w:p>
          <w:p w14:paraId="64D54699" w14:textId="77777777" w:rsidR="00604422" w:rsidRPr="00185E94" w:rsidRDefault="00604422" w:rsidP="00604422">
            <w:pPr>
              <w:rPr>
                <w:b/>
                <w:bCs/>
                <w:i/>
                <w:iCs/>
                <w:szCs w:val="24"/>
                <w:lang w:eastAsia="zh-CN"/>
              </w:rPr>
            </w:pPr>
            <w:r w:rsidRPr="00185E94">
              <w:rPr>
                <w:b/>
                <w:bCs/>
                <w:i/>
                <w:iCs/>
                <w:szCs w:val="24"/>
                <w:lang w:eastAsia="zh-CN"/>
              </w:rPr>
              <w:t>Observation 2: The PA performance of the constituted band under inter-band CA case can be guaranteed by meeting requirements for single band for corresponding power class.</w:t>
            </w:r>
          </w:p>
          <w:p w14:paraId="650252B7" w14:textId="77777777" w:rsidR="00604422" w:rsidRPr="00185E94" w:rsidRDefault="00604422" w:rsidP="00F2734F">
            <w:pPr>
              <w:rPr>
                <w:rFonts w:eastAsia="等线" w:hint="eastAsia"/>
                <w:b/>
                <w:bCs/>
                <w:szCs w:val="24"/>
                <w:lang w:eastAsia="zh-CN"/>
              </w:rPr>
            </w:pPr>
            <w:r w:rsidRPr="00185E94">
              <w:rPr>
                <w:rFonts w:hint="eastAsia"/>
                <w:b/>
                <w:bCs/>
                <w:i/>
                <w:iCs/>
                <w:szCs w:val="24"/>
                <w:lang w:eastAsia="zh-CN"/>
              </w:rPr>
              <w:t>O</w:t>
            </w:r>
            <w:r w:rsidRPr="00185E94">
              <w:rPr>
                <w:b/>
                <w:bCs/>
                <w:i/>
                <w:iCs/>
                <w:szCs w:val="24"/>
                <w:lang w:eastAsia="zh-CN"/>
              </w:rPr>
              <w:t>bservation 3: all the influencing factors on MSD with high power class have already been implicitly included by single band case and PC3 inter-band CA case.</w:t>
            </w:r>
          </w:p>
        </w:tc>
      </w:tr>
    </w:tbl>
    <w:p w14:paraId="2B20F5EC" w14:textId="77777777" w:rsidR="00F2734F" w:rsidRPr="00F2734F" w:rsidRDefault="00F2734F" w:rsidP="00F2734F">
      <w:pPr>
        <w:rPr>
          <w:rFonts w:hint="eastAsia"/>
          <w:b/>
          <w:bCs/>
          <w:lang w:val="en-US" w:eastAsia="zh-CN"/>
        </w:rPr>
      </w:pPr>
    </w:p>
    <w:p w14:paraId="2A8725FE" w14:textId="77777777" w:rsidR="0026121A" w:rsidRDefault="0026121A" w:rsidP="0068049A">
      <w:pPr>
        <w:rPr>
          <w:b/>
          <w:bCs/>
          <w:lang w:eastAsia="zh-CN"/>
        </w:rPr>
      </w:pPr>
      <w:r w:rsidRPr="0026121A">
        <w:rPr>
          <w:rFonts w:hint="eastAsia"/>
          <w:b/>
          <w:bCs/>
          <w:lang w:eastAsia="zh-CN"/>
        </w:rPr>
        <w:t>P</w:t>
      </w:r>
      <w:r w:rsidRPr="0026121A">
        <w:rPr>
          <w:b/>
          <w:bCs/>
          <w:lang w:eastAsia="zh-CN"/>
        </w:rPr>
        <w:t xml:space="preserve">roposal 1: adopt </w:t>
      </w:r>
      <w:r w:rsidR="00DB00D1">
        <w:rPr>
          <w:b/>
          <w:bCs/>
          <w:lang w:eastAsia="zh-CN"/>
        </w:rPr>
        <w:t xml:space="preserve">the following </w:t>
      </w:r>
      <w:r w:rsidRPr="0026121A">
        <w:rPr>
          <w:b/>
          <w:bCs/>
          <w:lang w:eastAsia="zh-CN"/>
        </w:rPr>
        <w:t xml:space="preserve">option as the MSD general rules when introduction of </w:t>
      </w:r>
      <w:r>
        <w:rPr>
          <w:b/>
          <w:bCs/>
          <w:lang w:eastAsia="zh-CN"/>
        </w:rPr>
        <w:t>PC2 and PC1.5</w:t>
      </w:r>
      <w:r w:rsidRPr="0026121A">
        <w:rPr>
          <w:b/>
          <w:bCs/>
          <w:lang w:eastAsia="zh-CN"/>
        </w:rPr>
        <w:t xml:space="preserve"> inter-band CA/DC</w:t>
      </w:r>
    </w:p>
    <w:p w14:paraId="1DC95126" w14:textId="77777777" w:rsidR="00F92E62" w:rsidRPr="00057009" w:rsidRDefault="00F92E62" w:rsidP="00F92E62">
      <w:pPr>
        <w:numPr>
          <w:ilvl w:val="0"/>
          <w:numId w:val="36"/>
        </w:numPr>
        <w:rPr>
          <w:b/>
          <w:bCs/>
          <w:szCs w:val="24"/>
          <w:lang w:eastAsia="zh-CN"/>
        </w:rPr>
      </w:pPr>
      <w:r w:rsidRPr="00057009">
        <w:rPr>
          <w:b/>
          <w:bCs/>
          <w:szCs w:val="24"/>
          <w:lang w:eastAsia="zh-CN"/>
        </w:rPr>
        <w:t>PC2/PC1.5 MSD requirements are not specified. UE shall meet the Rx requirements of default power class, with default power class transmission</w:t>
      </w:r>
    </w:p>
    <w:p w14:paraId="4F3AEA68" w14:textId="77777777" w:rsidR="00594B5A" w:rsidRDefault="00B240A8" w:rsidP="007D0587">
      <w:pPr>
        <w:rPr>
          <w:b/>
          <w:bCs/>
          <w:lang w:eastAsia="zh-CN"/>
        </w:rPr>
      </w:pPr>
      <w:r w:rsidRPr="00B240A8">
        <w:rPr>
          <w:rFonts w:hint="eastAsia"/>
          <w:b/>
          <w:bCs/>
          <w:lang w:eastAsia="zh-CN"/>
        </w:rPr>
        <w:t>S</w:t>
      </w:r>
      <w:r w:rsidRPr="00B240A8">
        <w:rPr>
          <w:b/>
          <w:bCs/>
          <w:lang w:eastAsia="zh-CN"/>
        </w:rPr>
        <w:t>AR issue</w:t>
      </w:r>
    </w:p>
    <w:p w14:paraId="223F7C30" w14:textId="77777777" w:rsidR="00183B9B" w:rsidRDefault="00183B9B" w:rsidP="007D0587">
      <w:pPr>
        <w:rPr>
          <w:lang w:eastAsia="zh-CN"/>
        </w:rPr>
      </w:pPr>
      <w:r w:rsidRPr="00183B9B">
        <w:rPr>
          <w:rFonts w:hint="eastAsia"/>
          <w:lang w:eastAsia="zh-CN"/>
        </w:rPr>
        <w:t>In</w:t>
      </w:r>
      <w:r w:rsidRPr="00183B9B">
        <w:rPr>
          <w:lang w:eastAsia="zh-CN"/>
        </w:rPr>
        <w:t xml:space="preserve"> </w:t>
      </w:r>
      <w:r w:rsidRPr="00183B9B">
        <w:rPr>
          <w:rFonts w:hint="eastAsia"/>
          <w:lang w:eastAsia="zh-CN"/>
        </w:rPr>
        <w:t>RAN</w:t>
      </w:r>
      <w:r w:rsidRPr="00183B9B">
        <w:rPr>
          <w:lang w:eastAsia="zh-CN"/>
        </w:rPr>
        <w:t>4#11</w:t>
      </w:r>
      <w:r w:rsidR="00BF1537">
        <w:rPr>
          <w:lang w:eastAsia="zh-CN"/>
        </w:rPr>
        <w:t>2bis</w:t>
      </w:r>
      <w:r w:rsidRPr="00183B9B">
        <w:rPr>
          <w:lang w:eastAsia="zh-CN"/>
        </w:rPr>
        <w:t xml:space="preserve"> </w:t>
      </w:r>
      <w:r w:rsidRPr="00183B9B">
        <w:rPr>
          <w:rFonts w:hint="eastAsia"/>
          <w:lang w:eastAsia="zh-CN"/>
        </w:rPr>
        <w:t>meeting</w:t>
      </w:r>
      <w:r w:rsidRPr="00183B9B">
        <w:rPr>
          <w:lang w:eastAsia="zh-CN"/>
        </w:rPr>
        <w:t>,</w:t>
      </w:r>
      <w:r>
        <w:rPr>
          <w:lang w:eastAsia="zh-CN"/>
        </w:rPr>
        <w:t xml:space="preserve"> the following agreement</w:t>
      </w:r>
      <w:r w:rsidR="00BF1537">
        <w:rPr>
          <w:lang w:eastAsia="zh-CN"/>
        </w:rPr>
        <w:t xml:space="preserve"> </w:t>
      </w:r>
      <w:r>
        <w:rPr>
          <w:lang w:eastAsia="zh-CN"/>
        </w:rPr>
        <w:t>captured in [</w:t>
      </w:r>
      <w:r w:rsidR="00BF1537">
        <w:rPr>
          <w:lang w:eastAsia="zh-CN"/>
        </w:rPr>
        <w:t>1</w:t>
      </w:r>
      <w:r>
        <w:rPr>
          <w:lang w:eastAsia="zh-CN"/>
        </w:rPr>
        <w:t>]</w:t>
      </w:r>
      <w:r w:rsidR="00582A11">
        <w:rPr>
          <w:lang w:eastAsia="zh-CN"/>
        </w:rPr>
        <w:t xml:space="preserve"> for SAR issue</w:t>
      </w:r>
      <w:r>
        <w:rPr>
          <w:lang w:eastAsia="zh-CN"/>
        </w:rPr>
        <w:t>.</w:t>
      </w:r>
    </w:p>
    <w:tbl>
      <w:tblPr>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83B9B" w14:paraId="7F7A96F1" w14:textId="77777777" w:rsidTr="003720BC">
        <w:tc>
          <w:tcPr>
            <w:tcW w:w="9855" w:type="dxa"/>
            <w:shd w:val="clear" w:color="auto" w:fill="auto"/>
          </w:tcPr>
          <w:p w14:paraId="788C0032" w14:textId="77777777" w:rsidR="00183B9B" w:rsidRPr="003720BC" w:rsidRDefault="00183B9B" w:rsidP="003720BC">
            <w:pPr>
              <w:pStyle w:val="2"/>
              <w:rPr>
                <w:rFonts w:eastAsia="Times New Roman"/>
                <w:sz w:val="24"/>
                <w:lang w:eastAsia="zh-CN"/>
              </w:rPr>
            </w:pPr>
            <w:r w:rsidRPr="003720BC">
              <w:rPr>
                <w:sz w:val="24"/>
              </w:rPr>
              <w:t>1.1 Duty cycle solution for SAR compliance</w:t>
            </w:r>
          </w:p>
          <w:p w14:paraId="2DF0784C" w14:textId="77777777" w:rsidR="00BF1537" w:rsidRPr="00BF1537" w:rsidRDefault="00BF1537" w:rsidP="00BF1537">
            <w:pPr>
              <w:spacing w:after="120"/>
              <w:rPr>
                <w:sz w:val="21"/>
                <w:lang w:val="en-US" w:eastAsia="zh-CN"/>
              </w:rPr>
            </w:pPr>
            <w:r w:rsidRPr="00BF1537">
              <w:rPr>
                <w:sz w:val="21"/>
                <w:lang w:val="en-US" w:eastAsia="zh-CN"/>
              </w:rPr>
              <w:t>Agreement:</w:t>
            </w:r>
          </w:p>
          <w:p w14:paraId="7D43D871" w14:textId="77777777" w:rsidR="00BF1537" w:rsidRPr="00BF1537" w:rsidRDefault="00BF1537" w:rsidP="00BF1537">
            <w:pPr>
              <w:spacing w:after="120"/>
              <w:rPr>
                <w:sz w:val="21"/>
                <w:lang w:val="en-US" w:eastAsia="zh-CN"/>
              </w:rPr>
            </w:pPr>
            <w:r w:rsidRPr="00BF1537">
              <w:rPr>
                <w:sz w:val="21"/>
                <w:lang w:val="en-US" w:eastAsia="zh-CN"/>
              </w:rPr>
              <w:t></w:t>
            </w:r>
            <w:r w:rsidRPr="00BF1537">
              <w:rPr>
                <w:sz w:val="21"/>
                <w:lang w:val="en-US" w:eastAsia="zh-CN"/>
              </w:rPr>
              <w:tab/>
              <w:t>For intra-band CA and inter-band CA PC1.5, duty cycle solution for SAR will be discussed.</w:t>
            </w:r>
          </w:p>
          <w:p w14:paraId="2ED36947" w14:textId="77777777" w:rsidR="00183B9B" w:rsidRPr="00185E94" w:rsidRDefault="00BF1537" w:rsidP="00BF1537">
            <w:pPr>
              <w:spacing w:after="120"/>
              <w:rPr>
                <w:rFonts w:eastAsia="等线" w:hint="eastAsia"/>
                <w:sz w:val="21"/>
                <w:lang w:val="en-US" w:eastAsia="zh-CN"/>
              </w:rPr>
            </w:pPr>
            <w:r w:rsidRPr="00BF1537">
              <w:rPr>
                <w:sz w:val="21"/>
                <w:lang w:val="en-US" w:eastAsia="zh-CN"/>
              </w:rPr>
              <w:t></w:t>
            </w:r>
            <w:r w:rsidRPr="00BF1537">
              <w:rPr>
                <w:sz w:val="21"/>
                <w:lang w:val="en-US" w:eastAsia="zh-CN"/>
              </w:rPr>
              <w:tab/>
              <w:t>For EN-DC PC1.5 and PC2, duty cycle solution for SAR will discussed for the scenario without new IE introduction.</w:t>
            </w:r>
          </w:p>
        </w:tc>
      </w:tr>
    </w:tbl>
    <w:p w14:paraId="1CFD86B3" w14:textId="77777777" w:rsidR="00183B9B" w:rsidRDefault="00183B9B" w:rsidP="007D0587">
      <w:pPr>
        <w:rPr>
          <w:lang w:eastAsia="zh-CN"/>
        </w:rPr>
      </w:pPr>
    </w:p>
    <w:p w14:paraId="45255147" w14:textId="77777777" w:rsidR="00183B9B" w:rsidRPr="00183B9B" w:rsidRDefault="00E026BA" w:rsidP="007D0587">
      <w:pPr>
        <w:rPr>
          <w:b/>
          <w:bCs/>
          <w:lang w:eastAsia="zh-CN"/>
        </w:rPr>
      </w:pPr>
      <w:r>
        <w:rPr>
          <w:b/>
          <w:bCs/>
          <w:lang w:eastAsia="zh-CN"/>
        </w:rPr>
        <w:t>F</w:t>
      </w:r>
      <w:r w:rsidR="00183B9B" w:rsidRPr="00183B9B">
        <w:rPr>
          <w:b/>
          <w:bCs/>
          <w:lang w:eastAsia="zh-CN"/>
        </w:rPr>
        <w:t>or PC1.5 intra-band CA</w:t>
      </w:r>
    </w:p>
    <w:p w14:paraId="43ABD8E0" w14:textId="77777777" w:rsidR="00183B9B" w:rsidRDefault="00582A11" w:rsidP="00183B9B">
      <w:r>
        <w:rPr>
          <w:bCs/>
          <w:lang w:eastAsia="zh-CN"/>
        </w:rPr>
        <w:lastRenderedPageBreak/>
        <w:t>In current spec 38.306,</w:t>
      </w:r>
      <w:r w:rsidR="00183B9B">
        <w:rPr>
          <w:bCs/>
          <w:lang w:val="en-US" w:eastAsia="zh-CN"/>
        </w:rPr>
        <w:t xml:space="preserve"> </w:t>
      </w:r>
      <w:r>
        <w:rPr>
          <w:bCs/>
          <w:lang w:val="en-US" w:eastAsia="zh-CN"/>
        </w:rPr>
        <w:t xml:space="preserve">the dutycycle capabilities </w:t>
      </w:r>
      <w:r w:rsidR="00183B9B">
        <w:rPr>
          <w:bCs/>
          <w:lang w:val="en-US" w:eastAsia="zh-CN"/>
        </w:rPr>
        <w:t>i.e.</w:t>
      </w:r>
      <w:r w:rsidR="00183B9B" w:rsidRPr="00E15B45">
        <w:rPr>
          <w:i/>
        </w:rPr>
        <w:t xml:space="preserve"> </w:t>
      </w:r>
      <w:r w:rsidR="00183B9B" w:rsidRPr="00A1115A">
        <w:rPr>
          <w:i/>
        </w:rPr>
        <w:t>maxUplinkDutyCycle-PC2-FR1</w:t>
      </w:r>
      <w:r w:rsidR="00183B9B">
        <w:rPr>
          <w:bCs/>
          <w:lang w:val="en-US" w:eastAsia="zh-CN"/>
        </w:rPr>
        <w:t xml:space="preserve">, </w:t>
      </w:r>
      <w:r w:rsidR="00183B9B" w:rsidRPr="00FC5DEE">
        <w:rPr>
          <w:i/>
          <w:iCs/>
        </w:rPr>
        <w:t>maxUplinkDutyCycle-PC1dot5-MPE-FR1</w:t>
      </w:r>
      <w:r w:rsidR="00183B9B">
        <w:rPr>
          <w:i/>
          <w:iCs/>
        </w:rPr>
        <w:t xml:space="preserve"> </w:t>
      </w:r>
      <w:r>
        <w:t>are reported per band which shows as following, therefore it can expected those capabilities could</w:t>
      </w:r>
      <w:r w:rsidRPr="003720BC">
        <w:rPr>
          <w:rFonts w:eastAsia="等线" w:hint="eastAsia"/>
          <w:lang w:eastAsia="zh-CN"/>
        </w:rPr>
        <w:t xml:space="preserve"> </w:t>
      </w:r>
      <w:r w:rsidR="00183B9B">
        <w:t xml:space="preserve">be reused for PC1.5 </w:t>
      </w:r>
      <w:r>
        <w:t>intra-band CA case</w:t>
      </w:r>
      <w:r w:rsidR="00183B9B">
        <w:t>. In other words, the capability is already there and there would no new capability introduced.</w:t>
      </w: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82A11" w14:paraId="39EF53EC" w14:textId="77777777" w:rsidTr="00582A1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2ABD92D" w14:textId="77777777" w:rsidR="00582A11" w:rsidRPr="00582A11" w:rsidRDefault="00582A11" w:rsidP="003720BC">
            <w:pPr>
              <w:pStyle w:val="TAL"/>
              <w:rPr>
                <w:rFonts w:eastAsia="等线"/>
                <w:b/>
                <w:bCs/>
                <w:i/>
                <w:iCs/>
                <w:lang w:eastAsia="en-US"/>
              </w:rPr>
            </w:pPr>
            <w:r>
              <w:rPr>
                <w:b/>
                <w:bCs/>
                <w:i/>
                <w:iCs/>
              </w:rPr>
              <w:t>maxUplinkDutyCycle-PC2-FR1</w:t>
            </w:r>
          </w:p>
          <w:p w14:paraId="05B757FC" w14:textId="77777777" w:rsidR="00582A11" w:rsidRPr="00582A11" w:rsidRDefault="00582A11" w:rsidP="003720BC">
            <w:pPr>
              <w:pStyle w:val="TAL"/>
            </w:pPr>
            <w:r w:rsidRPr="00582A11">
              <w:t>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and also applicable for FR1 power class 1.5 UE as specified in clause 6.2.1 of TS 38.101-1 [2]. If the field and maxUplinkDutyCycle-PC1dot5-MPE-FR1-r16 are both absent, 50% shall be applied as the upper limit of the UL duty cycle for power class 2. Value n60 corresponds to 60%, value n70 corresponds to 70% and so on. This capability is not applicable to IAB-MT.</w:t>
            </w:r>
          </w:p>
        </w:tc>
        <w:tc>
          <w:tcPr>
            <w:tcW w:w="709" w:type="dxa"/>
            <w:tcBorders>
              <w:top w:val="single" w:sz="4" w:space="0" w:color="808080"/>
              <w:left w:val="single" w:sz="4" w:space="0" w:color="808080"/>
              <w:bottom w:val="single" w:sz="4" w:space="0" w:color="808080"/>
              <w:right w:val="single" w:sz="4" w:space="0" w:color="808080"/>
            </w:tcBorders>
            <w:hideMark/>
          </w:tcPr>
          <w:p w14:paraId="65B720B5" w14:textId="77777777" w:rsidR="00582A11" w:rsidRPr="00582A11" w:rsidRDefault="00582A11" w:rsidP="003720BC">
            <w:pPr>
              <w:pStyle w:val="TAL"/>
              <w:jc w:val="center"/>
              <w:rPr>
                <w:bCs/>
                <w:iCs/>
                <w:highlight w:val="yellow"/>
              </w:rPr>
            </w:pPr>
            <w:r w:rsidRPr="00582A11">
              <w:rPr>
                <w:bCs/>
                <w:iCs/>
                <w:highlight w:val="yellow"/>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D6EA881" w14:textId="77777777" w:rsidR="00582A11" w:rsidRDefault="00582A11" w:rsidP="003720BC">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9433427" w14:textId="77777777" w:rsidR="00582A11" w:rsidRDefault="00582A11" w:rsidP="003720BC">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234AD77" w14:textId="77777777" w:rsidR="00582A11" w:rsidRDefault="00582A11" w:rsidP="003720BC">
            <w:pPr>
              <w:pStyle w:val="TAL"/>
              <w:jc w:val="center"/>
            </w:pPr>
            <w:r>
              <w:t>FR1 only</w:t>
            </w:r>
          </w:p>
        </w:tc>
      </w:tr>
      <w:tr w:rsidR="00582A11" w14:paraId="3097FEAE" w14:textId="77777777" w:rsidTr="00582A1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D73463A" w14:textId="77777777" w:rsidR="00582A11" w:rsidRDefault="00582A11">
            <w:pPr>
              <w:pStyle w:val="TAL"/>
              <w:rPr>
                <w:b/>
                <w:bCs/>
                <w:i/>
                <w:iCs/>
              </w:rPr>
            </w:pPr>
            <w:r>
              <w:rPr>
                <w:b/>
                <w:bCs/>
                <w:i/>
                <w:iCs/>
              </w:rPr>
              <w:t>maxUplinkDutyCycle-PC1dot5-MPE-FR1-r16</w:t>
            </w:r>
          </w:p>
          <w:p w14:paraId="3A59E01C" w14:textId="77777777" w:rsidR="00582A11" w:rsidRDefault="00582A11">
            <w:pPr>
              <w:pStyle w:val="TAL"/>
              <w:rPr>
                <w:b/>
                <w:i/>
              </w:rPr>
            </w:pPr>
            <w:r>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Pr>
                <w:bCs/>
                <w:i/>
              </w:rPr>
              <w:t>maxUplinkDutyCycle-PC2-FR1</w:t>
            </w:r>
            <w:r>
              <w:rPr>
                <w:bCs/>
                <w:iCs/>
              </w:rPr>
              <w:t xml:space="preserve"> are both absent, 25% shall be applied </w:t>
            </w:r>
            <w:r>
              <w:t>as the upper limit of the UL duty cycle for power class 1.5</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24F75F20" w14:textId="77777777" w:rsidR="00582A11" w:rsidRPr="00582A11" w:rsidRDefault="00582A11">
            <w:pPr>
              <w:pStyle w:val="TAL"/>
              <w:jc w:val="center"/>
              <w:rPr>
                <w:highlight w:val="yellow"/>
              </w:rPr>
            </w:pPr>
            <w:r w:rsidRPr="00582A11">
              <w:rPr>
                <w:bCs/>
                <w:iCs/>
                <w:highlight w:val="yellow"/>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1091702" w14:textId="77777777" w:rsidR="00582A11" w:rsidRDefault="00582A11">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4C46D0A" w14:textId="77777777" w:rsidR="00582A11" w:rsidRDefault="00582A1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E97CCC8" w14:textId="77777777" w:rsidR="00582A11" w:rsidRDefault="00582A11">
            <w:pPr>
              <w:pStyle w:val="TAL"/>
              <w:jc w:val="center"/>
              <w:rPr>
                <w:bCs/>
                <w:iCs/>
              </w:rPr>
            </w:pPr>
            <w:r>
              <w:t>FR1 only</w:t>
            </w:r>
          </w:p>
        </w:tc>
      </w:tr>
    </w:tbl>
    <w:p w14:paraId="521233E0" w14:textId="77777777" w:rsidR="00582A11" w:rsidRDefault="00582A11" w:rsidP="00183B9B"/>
    <w:p w14:paraId="1F5CE9F9" w14:textId="77777777" w:rsidR="00183B9B" w:rsidRDefault="00183B9B" w:rsidP="00183B9B">
      <w:pPr>
        <w:rPr>
          <w:b/>
          <w:bCs/>
        </w:rPr>
      </w:pPr>
      <w:r w:rsidRPr="008B7C7A">
        <w:rPr>
          <w:b/>
          <w:bCs/>
          <w:lang w:eastAsia="zh-CN"/>
        </w:rPr>
        <w:t xml:space="preserve">Observation </w:t>
      </w:r>
      <w:r w:rsidR="00E026BA">
        <w:rPr>
          <w:b/>
          <w:bCs/>
          <w:lang w:eastAsia="zh-CN"/>
        </w:rPr>
        <w:t>3</w:t>
      </w:r>
      <w:r w:rsidRPr="008B7C7A">
        <w:rPr>
          <w:b/>
          <w:bCs/>
          <w:lang w:eastAsia="zh-CN"/>
        </w:rPr>
        <w:t>:</w:t>
      </w:r>
      <w:r w:rsidRPr="008B7C7A">
        <w:rPr>
          <w:b/>
          <w:bCs/>
          <w:lang w:val="en-US" w:eastAsia="zh-CN"/>
        </w:rPr>
        <w:t xml:space="preserve"> the capabilit</w:t>
      </w:r>
      <w:r w:rsidR="00582A11">
        <w:rPr>
          <w:b/>
          <w:bCs/>
          <w:lang w:val="en-US" w:eastAsia="zh-CN"/>
        </w:rPr>
        <w:t>ies</w:t>
      </w:r>
      <w:r w:rsidRPr="008B7C7A">
        <w:rPr>
          <w:b/>
          <w:bCs/>
          <w:lang w:val="en-US" w:eastAsia="zh-CN"/>
        </w:rPr>
        <w:t xml:space="preserve">, </w:t>
      </w:r>
      <w:r w:rsidR="00D26B22" w:rsidRPr="008B7C7A">
        <w:rPr>
          <w:b/>
          <w:bCs/>
          <w:lang w:val="en-US" w:eastAsia="zh-CN"/>
        </w:rPr>
        <w:t>i.e.,</w:t>
      </w:r>
      <w:r w:rsidRPr="008B7C7A">
        <w:rPr>
          <w:b/>
          <w:bCs/>
          <w:i/>
        </w:rPr>
        <w:t xml:space="preserve"> maxUplinkDutyCycle-PC2-FR1</w:t>
      </w:r>
      <w:r w:rsidRPr="008B7C7A">
        <w:rPr>
          <w:b/>
          <w:bCs/>
          <w:lang w:val="en-US" w:eastAsia="zh-CN"/>
        </w:rPr>
        <w:t xml:space="preserve">, </w:t>
      </w:r>
      <w:r w:rsidRPr="008B7C7A">
        <w:rPr>
          <w:b/>
          <w:bCs/>
          <w:i/>
          <w:iCs/>
        </w:rPr>
        <w:t xml:space="preserve">maxUplinkDutyCycle-PC1dot5-MPE-FR1 </w:t>
      </w:r>
      <w:r w:rsidRPr="008B7C7A">
        <w:rPr>
          <w:b/>
          <w:bCs/>
        </w:rPr>
        <w:t>could be reused for PC1.5 case</w:t>
      </w:r>
      <w:r>
        <w:rPr>
          <w:b/>
          <w:bCs/>
        </w:rPr>
        <w:t>.</w:t>
      </w:r>
      <w:r w:rsidRPr="008B7C7A">
        <w:rPr>
          <w:b/>
          <w:bCs/>
        </w:rPr>
        <w:t xml:space="preserve"> </w:t>
      </w:r>
      <w:r>
        <w:rPr>
          <w:b/>
          <w:bCs/>
        </w:rPr>
        <w:t>I</w:t>
      </w:r>
      <w:r w:rsidRPr="008B7C7A">
        <w:rPr>
          <w:b/>
          <w:bCs/>
        </w:rPr>
        <w:t>n other words, the capability is already there and there would no new capability introduced</w:t>
      </w:r>
      <w:r>
        <w:rPr>
          <w:b/>
          <w:bCs/>
        </w:rPr>
        <w:t xml:space="preserve"> for PC1.5 case.</w:t>
      </w:r>
    </w:p>
    <w:p w14:paraId="4A88C7E1" w14:textId="77777777" w:rsidR="00183B9B" w:rsidRPr="008B7C7A" w:rsidRDefault="00183B9B" w:rsidP="00183B9B">
      <w:pPr>
        <w:rPr>
          <w:bCs/>
          <w:lang w:eastAsia="zh-CN"/>
        </w:rPr>
      </w:pPr>
      <w:r>
        <w:rPr>
          <w:bCs/>
          <w:lang w:eastAsia="zh-CN"/>
        </w:rPr>
        <w:t xml:space="preserve">Based on the above observation, </w:t>
      </w:r>
      <w:r>
        <w:t xml:space="preserve">we think it is not reasonable to preclude the duty-cycle approach for PC1.5 case. Therefore, </w:t>
      </w:r>
      <w:r>
        <w:rPr>
          <w:rFonts w:eastAsia="等线"/>
          <w:lang w:val="en-US"/>
        </w:rPr>
        <w:t>it is proposed the following agreements could be achieved for PC1.5 intra-band CA</w:t>
      </w:r>
    </w:p>
    <w:p w14:paraId="7C68D515" w14:textId="77777777" w:rsidR="00183B9B" w:rsidRPr="007D081B" w:rsidRDefault="00183B9B" w:rsidP="00183B9B">
      <w:pPr>
        <w:numPr>
          <w:ilvl w:val="1"/>
          <w:numId w:val="29"/>
        </w:numPr>
        <w:rPr>
          <w:bCs/>
          <w:lang w:val="en-US" w:eastAsia="zh-CN"/>
        </w:rPr>
      </w:pPr>
      <w:bookmarkStart w:id="5" w:name="OLE_LINK5"/>
      <w:r w:rsidRPr="007D081B">
        <w:rPr>
          <w:rFonts w:hint="eastAsia"/>
          <w:bCs/>
          <w:lang w:val="en-US" w:eastAsia="zh-CN"/>
        </w:rPr>
        <w:t>P-MPR is available for the UE for SAR mitigation method</w:t>
      </w:r>
    </w:p>
    <w:p w14:paraId="5CC3785E" w14:textId="77777777" w:rsidR="00183B9B" w:rsidRPr="007D081B" w:rsidRDefault="00183B9B" w:rsidP="00183B9B">
      <w:pPr>
        <w:numPr>
          <w:ilvl w:val="1"/>
          <w:numId w:val="29"/>
        </w:numPr>
        <w:rPr>
          <w:bCs/>
          <w:lang w:val="en-US" w:eastAsia="zh-CN"/>
        </w:rPr>
      </w:pPr>
      <w:r w:rsidRPr="007D081B">
        <w:rPr>
          <w:rFonts w:hint="eastAsia"/>
          <w:bCs/>
          <w:lang w:val="en-US" w:eastAsia="zh-CN"/>
        </w:rPr>
        <w:t xml:space="preserve">Duty cycle based SAR solution:  </w:t>
      </w:r>
      <w:r w:rsidRPr="00E15B45">
        <w:rPr>
          <w:bCs/>
          <w:lang w:val="en-US" w:eastAsia="zh-CN"/>
        </w:rPr>
        <w:t>Reuse the capability for single carrier case</w:t>
      </w:r>
      <w:r>
        <w:rPr>
          <w:bCs/>
          <w:lang w:val="en-US" w:eastAsia="zh-CN"/>
        </w:rPr>
        <w:t>, i.e.</w:t>
      </w:r>
      <w:r w:rsidRPr="00E15B45">
        <w:rPr>
          <w:i/>
        </w:rPr>
        <w:t xml:space="preserve"> </w:t>
      </w:r>
      <w:r w:rsidRPr="00A1115A">
        <w:rPr>
          <w:i/>
        </w:rPr>
        <w:t>maxUplinkDutyCycle-PC2-FR1</w:t>
      </w:r>
      <w:r>
        <w:rPr>
          <w:bCs/>
          <w:lang w:val="en-US" w:eastAsia="zh-CN"/>
        </w:rPr>
        <w:t xml:space="preserve">, </w:t>
      </w:r>
      <w:bookmarkStart w:id="6" w:name="OLE_LINK4"/>
      <w:r w:rsidRPr="00FC5DEE">
        <w:rPr>
          <w:i/>
          <w:iCs/>
        </w:rPr>
        <w:t>maxUplinkDutyCycle-PC1dot5-MPE-FR1</w:t>
      </w:r>
      <w:bookmarkEnd w:id="6"/>
    </w:p>
    <w:p w14:paraId="51EDA429" w14:textId="77777777" w:rsidR="00183B9B" w:rsidRDefault="00183B9B" w:rsidP="00183B9B">
      <w:pPr>
        <w:numPr>
          <w:ilvl w:val="1"/>
          <w:numId w:val="29"/>
        </w:numPr>
        <w:rPr>
          <w:bCs/>
          <w:lang w:val="en-US" w:eastAsia="zh-CN"/>
        </w:rPr>
      </w:pPr>
      <w:r w:rsidRPr="007D081B">
        <w:rPr>
          <w:rFonts w:hint="eastAsia"/>
          <w:bCs/>
          <w:lang w:val="en-US" w:eastAsia="zh-CN"/>
        </w:rPr>
        <w:t>Fallback behavior:  same fallback behavior as single carrier PC</w:t>
      </w:r>
      <w:r>
        <w:rPr>
          <w:bCs/>
          <w:lang w:val="en-US" w:eastAsia="zh-CN"/>
        </w:rPr>
        <w:t>1.5</w:t>
      </w:r>
      <w:r w:rsidRPr="007D081B">
        <w:rPr>
          <w:rFonts w:hint="eastAsia"/>
          <w:bCs/>
          <w:lang w:val="en-US" w:eastAsia="zh-CN"/>
        </w:rPr>
        <w:t xml:space="preserve">. i.e. fallback to the corresponding PC3 </w:t>
      </w:r>
      <w:r>
        <w:rPr>
          <w:bCs/>
          <w:lang w:val="en-US" w:eastAsia="zh-CN"/>
        </w:rPr>
        <w:t xml:space="preserve">or PC2 </w:t>
      </w:r>
      <w:r w:rsidRPr="007D081B">
        <w:rPr>
          <w:rFonts w:hint="eastAsia"/>
          <w:bCs/>
          <w:lang w:val="en-US" w:eastAsia="zh-CN"/>
        </w:rPr>
        <w:t>intra-band non-contiguous CA in case of the dutycycle condition is not met.</w:t>
      </w:r>
    </w:p>
    <w:p w14:paraId="24BF95F5" w14:textId="77777777" w:rsidR="00BB26E0" w:rsidRDefault="00BB26E0" w:rsidP="00BB26E0">
      <w:pPr>
        <w:rPr>
          <w:rFonts w:hint="eastAsia"/>
          <w:bCs/>
          <w:lang w:val="en-US" w:eastAsia="zh-CN"/>
        </w:rPr>
      </w:pPr>
      <w:r w:rsidRPr="00185E94">
        <w:rPr>
          <w:rFonts w:eastAsia="等线" w:hint="eastAsia"/>
          <w:bCs/>
          <w:lang w:val="en-US" w:eastAsia="zh-CN"/>
        </w:rPr>
        <w:t>T</w:t>
      </w:r>
      <w:r w:rsidRPr="00185E94">
        <w:rPr>
          <w:rFonts w:eastAsia="等线"/>
          <w:bCs/>
          <w:lang w:val="en-US" w:eastAsia="zh-CN"/>
        </w:rPr>
        <w:t>he detailed d</w:t>
      </w:r>
      <w:r w:rsidRPr="00BB26E0">
        <w:rPr>
          <w:rFonts w:eastAsia="等线"/>
          <w:bCs/>
          <w:lang w:val="en-US" w:eastAsia="zh-CN"/>
        </w:rPr>
        <w:t>uty-cycle approach for high power class</w:t>
      </w:r>
      <w:r w:rsidRPr="00185E94">
        <w:rPr>
          <w:rFonts w:eastAsia="等线"/>
          <w:bCs/>
          <w:lang w:val="en-US" w:eastAsia="zh-CN"/>
        </w:rPr>
        <w:t xml:space="preserve"> could be illustrated in the following figure 2.</w:t>
      </w:r>
    </w:p>
    <w:p w14:paraId="64E8A268" w14:textId="77777777" w:rsidR="00C261A5" w:rsidRDefault="00BB26E0" w:rsidP="00C261A5">
      <w:pPr>
        <w:rPr>
          <w:bCs/>
          <w:lang w:val="en-US" w:eastAsia="zh-CN"/>
        </w:rPr>
      </w:pPr>
      <w:r>
        <w:rPr>
          <w:bCs/>
          <w:lang w:val="en-US" w:eastAsia="zh-CN"/>
        </w:rPr>
        <w:object w:dxaOrig="16876" w:dyaOrig="4576" w14:anchorId="55DFC9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61.25pt;height:125.25pt" o:ole="">
            <v:imagedata r:id="rId11" o:title=""/>
          </v:shape>
          <o:OLEObject Type="Embed" ProgID="Visio.Drawing.11" ShapeID="_x0000_i1028" DrawAspect="Content" ObjectID="_1792579437" r:id="rId12"/>
        </w:object>
      </w:r>
    </w:p>
    <w:p w14:paraId="4BAB57C8" w14:textId="77777777" w:rsidR="00BB26E0" w:rsidRPr="00185E94" w:rsidRDefault="00BB26E0" w:rsidP="00BB26E0">
      <w:pPr>
        <w:jc w:val="center"/>
        <w:rPr>
          <w:rFonts w:eastAsia="等线" w:hint="eastAsia"/>
          <w:bCs/>
          <w:lang w:val="en-US" w:eastAsia="zh-CN"/>
        </w:rPr>
      </w:pPr>
      <w:r w:rsidRPr="00185E94">
        <w:rPr>
          <w:rFonts w:eastAsia="等线"/>
          <w:bCs/>
          <w:lang w:val="en-US" w:eastAsia="zh-CN"/>
        </w:rPr>
        <w:t>Figure 2, the duty-cycle approach for high power class</w:t>
      </w:r>
      <w:r w:rsidR="00D26B22">
        <w:rPr>
          <w:rFonts w:eastAsia="等线"/>
          <w:bCs/>
          <w:lang w:val="en-US" w:eastAsia="zh-CN"/>
        </w:rPr>
        <w:t xml:space="preserve"> per band</w:t>
      </w:r>
    </w:p>
    <w:bookmarkEnd w:id="5"/>
    <w:p w14:paraId="075371FF" w14:textId="77777777" w:rsidR="00183B9B" w:rsidRPr="00616AFA" w:rsidRDefault="00183B9B" w:rsidP="00183B9B">
      <w:pPr>
        <w:rPr>
          <w:b/>
          <w:lang w:val="en-US" w:eastAsia="zh-CN"/>
        </w:rPr>
      </w:pPr>
      <w:r w:rsidRPr="00616AFA">
        <w:rPr>
          <w:rFonts w:hint="eastAsia"/>
          <w:b/>
          <w:lang w:val="en-US" w:eastAsia="zh-CN"/>
        </w:rPr>
        <w:t>P</w:t>
      </w:r>
      <w:r w:rsidRPr="00616AFA">
        <w:rPr>
          <w:b/>
          <w:lang w:val="en-US" w:eastAsia="zh-CN"/>
        </w:rPr>
        <w:t xml:space="preserve">roposal </w:t>
      </w:r>
      <w:r>
        <w:rPr>
          <w:b/>
          <w:lang w:val="en-US" w:eastAsia="zh-CN"/>
        </w:rPr>
        <w:t>2</w:t>
      </w:r>
      <w:r w:rsidRPr="00616AFA">
        <w:rPr>
          <w:b/>
          <w:lang w:val="en-US" w:eastAsia="zh-CN"/>
        </w:rPr>
        <w:t>: To mitigate the SAR issue, the following is proposed for PC1.5 intra-band CA.</w:t>
      </w:r>
    </w:p>
    <w:p w14:paraId="2748EB0D" w14:textId="77777777" w:rsidR="00183B9B" w:rsidRPr="007D081B" w:rsidRDefault="00183B9B" w:rsidP="00183B9B">
      <w:pPr>
        <w:numPr>
          <w:ilvl w:val="1"/>
          <w:numId w:val="29"/>
        </w:numPr>
        <w:rPr>
          <w:b/>
          <w:lang w:val="en-US" w:eastAsia="zh-CN"/>
        </w:rPr>
      </w:pPr>
      <w:r w:rsidRPr="00616AFA">
        <w:rPr>
          <w:rFonts w:hint="eastAsia"/>
          <w:b/>
          <w:lang w:val="en-US" w:eastAsia="zh-CN"/>
        </w:rPr>
        <w:t>P-MPR is available for the UE for SAR mitigation method</w:t>
      </w:r>
    </w:p>
    <w:p w14:paraId="336E1A08" w14:textId="77777777" w:rsidR="00183B9B" w:rsidRPr="007D081B" w:rsidRDefault="00183B9B" w:rsidP="00183B9B">
      <w:pPr>
        <w:numPr>
          <w:ilvl w:val="1"/>
          <w:numId w:val="29"/>
        </w:numPr>
        <w:rPr>
          <w:b/>
          <w:lang w:val="en-US" w:eastAsia="zh-CN"/>
        </w:rPr>
      </w:pPr>
      <w:r w:rsidRPr="00616AFA">
        <w:rPr>
          <w:rFonts w:hint="eastAsia"/>
          <w:b/>
          <w:lang w:val="en-US" w:eastAsia="zh-CN"/>
        </w:rPr>
        <w:t xml:space="preserve">Duty cycle based SAR solution:  </w:t>
      </w:r>
      <w:r w:rsidRPr="00616AFA">
        <w:rPr>
          <w:b/>
          <w:lang w:val="en-US" w:eastAsia="zh-CN"/>
        </w:rPr>
        <w:t>Reuse the capability for single carrier case, i.e.</w:t>
      </w:r>
      <w:r w:rsidRPr="00616AFA">
        <w:rPr>
          <w:b/>
          <w:i/>
        </w:rPr>
        <w:t xml:space="preserve"> maxUplinkDutyCycle-PC2-FR1</w:t>
      </w:r>
      <w:r w:rsidRPr="00616AFA">
        <w:rPr>
          <w:b/>
          <w:lang w:val="en-US" w:eastAsia="zh-CN"/>
        </w:rPr>
        <w:t xml:space="preserve">, </w:t>
      </w:r>
      <w:r w:rsidRPr="00616AFA">
        <w:rPr>
          <w:b/>
          <w:i/>
          <w:iCs/>
        </w:rPr>
        <w:t>maxUplinkDutyCycle-PC1dot5-MPE-FR1</w:t>
      </w:r>
    </w:p>
    <w:p w14:paraId="21E96340" w14:textId="77777777" w:rsidR="00183B9B" w:rsidRPr="008B7C7A" w:rsidRDefault="00183B9B" w:rsidP="00183B9B">
      <w:pPr>
        <w:numPr>
          <w:ilvl w:val="1"/>
          <w:numId w:val="29"/>
        </w:numPr>
        <w:rPr>
          <w:rFonts w:hint="eastAsia"/>
          <w:b/>
          <w:lang w:val="en-US" w:eastAsia="zh-CN"/>
        </w:rPr>
      </w:pPr>
      <w:r w:rsidRPr="00616AFA">
        <w:rPr>
          <w:rFonts w:hint="eastAsia"/>
          <w:b/>
          <w:lang w:val="en-US" w:eastAsia="zh-CN"/>
        </w:rPr>
        <w:t>Fallback behavior:  same fallback behavior as single carrier PC</w:t>
      </w:r>
      <w:r w:rsidRPr="00616AFA">
        <w:rPr>
          <w:b/>
          <w:lang w:val="en-US" w:eastAsia="zh-CN"/>
        </w:rPr>
        <w:t>1.5</w:t>
      </w:r>
      <w:r w:rsidRPr="00616AFA">
        <w:rPr>
          <w:rFonts w:hint="eastAsia"/>
          <w:b/>
          <w:lang w:val="en-US" w:eastAsia="zh-CN"/>
        </w:rPr>
        <w:t xml:space="preserve">. i.e. fallback to the corresponding PC3 </w:t>
      </w:r>
      <w:r w:rsidRPr="00616AFA">
        <w:rPr>
          <w:b/>
          <w:lang w:val="en-US" w:eastAsia="zh-CN"/>
        </w:rPr>
        <w:t xml:space="preserve">or PC2 </w:t>
      </w:r>
      <w:r w:rsidRPr="00616AFA">
        <w:rPr>
          <w:rFonts w:hint="eastAsia"/>
          <w:b/>
          <w:lang w:val="en-US" w:eastAsia="zh-CN"/>
        </w:rPr>
        <w:t>intra-band non-contiguous CA in case of the dutycycle condition is not met.</w:t>
      </w:r>
    </w:p>
    <w:p w14:paraId="11914686" w14:textId="77777777" w:rsidR="00183B9B" w:rsidRPr="00183B9B" w:rsidRDefault="00183B9B" w:rsidP="007D0587">
      <w:pPr>
        <w:rPr>
          <w:b/>
          <w:bCs/>
          <w:lang w:val="en-US" w:eastAsia="zh-CN"/>
        </w:rPr>
      </w:pPr>
      <w:r w:rsidRPr="00183B9B">
        <w:rPr>
          <w:b/>
          <w:bCs/>
          <w:lang w:val="en-US" w:eastAsia="zh-CN"/>
        </w:rPr>
        <w:lastRenderedPageBreak/>
        <w:t>For PC1.5 inter-band CA</w:t>
      </w:r>
    </w:p>
    <w:p w14:paraId="0D4B45F8" w14:textId="77777777" w:rsidR="0085090E" w:rsidRDefault="00DA71FB" w:rsidP="0085090E">
      <w:pPr>
        <w:rPr>
          <w:lang w:eastAsia="zh-CN"/>
        </w:rPr>
      </w:pPr>
      <w:r w:rsidRPr="00185E94">
        <w:rPr>
          <w:rFonts w:eastAsia="等线" w:hint="eastAsia"/>
          <w:lang w:eastAsia="zh-CN"/>
        </w:rPr>
        <w:t>A</w:t>
      </w:r>
      <w:r w:rsidRPr="00185E94">
        <w:rPr>
          <w:rFonts w:eastAsia="等线"/>
          <w:lang w:eastAsia="zh-CN"/>
        </w:rPr>
        <w:t xml:space="preserve">s mentioned in our contribution [3], the duty-cycle approach has been adopted for PC2 inter-band CA case </w:t>
      </w:r>
      <w:r w:rsidR="0085090E" w:rsidRPr="00185E94">
        <w:rPr>
          <w:rFonts w:eastAsia="等线"/>
          <w:lang w:eastAsia="zh-CN"/>
        </w:rPr>
        <w:t xml:space="preserve">and PC1.5 inter-band CA with 3Tx </w:t>
      </w:r>
      <w:r w:rsidRPr="00185E94">
        <w:rPr>
          <w:rFonts w:eastAsia="等线"/>
          <w:lang w:eastAsia="zh-CN"/>
        </w:rPr>
        <w:t xml:space="preserve">in current spec. </w:t>
      </w:r>
      <w:r w:rsidR="0085090E">
        <w:rPr>
          <w:bCs/>
          <w:lang w:eastAsia="zh-CN"/>
        </w:rPr>
        <w:t xml:space="preserve">Our preference is to reuse the traditional way on dutycycle approach for PC1.5 case. Considering the </w:t>
      </w:r>
      <w:r w:rsidR="0085090E">
        <w:rPr>
          <w:lang w:eastAsia="zh-CN"/>
        </w:rPr>
        <w:t xml:space="preserve">current dutycycle conditions and the </w:t>
      </w:r>
      <w:r w:rsidR="0085090E">
        <w:rPr>
          <w:rFonts w:hint="eastAsia"/>
          <w:lang w:eastAsia="zh-CN"/>
        </w:rPr>
        <w:t>d</w:t>
      </w:r>
      <w:r w:rsidR="0085090E">
        <w:rPr>
          <w:lang w:eastAsia="zh-CN"/>
        </w:rPr>
        <w:t>efinition of t</w:t>
      </w:r>
      <w:r w:rsidR="0085090E" w:rsidRPr="004C673B">
        <w:rPr>
          <w:rFonts w:hint="eastAsia"/>
          <w:lang w:eastAsia="zh-CN"/>
        </w:rPr>
        <w:t xml:space="preserve">he </w:t>
      </w:r>
      <w:r w:rsidR="0085090E" w:rsidRPr="004C673B">
        <w:rPr>
          <w:lang w:eastAsia="zh-CN"/>
        </w:rPr>
        <w:t>average percentage of uplink symbols</w:t>
      </w:r>
      <w:r w:rsidR="00DC4202">
        <w:rPr>
          <w:lang w:eastAsia="zh-CN"/>
        </w:rPr>
        <w:t xml:space="preserve"> for 3Tx</w:t>
      </w:r>
      <w:r w:rsidR="0085090E">
        <w:rPr>
          <w:lang w:eastAsia="zh-CN"/>
        </w:rPr>
        <w:t xml:space="preserve"> are band combination agnostic and could be applicable for all possible PA configurations</w:t>
      </w:r>
      <w:r w:rsidR="00DC4202">
        <w:rPr>
          <w:lang w:eastAsia="zh-CN"/>
        </w:rPr>
        <w:t xml:space="preserve"> between two bands</w:t>
      </w:r>
      <w:r w:rsidR="0085090E">
        <w:rPr>
          <w:lang w:eastAsia="zh-CN"/>
        </w:rPr>
        <w:t>, it</w:t>
      </w:r>
      <w:r w:rsidR="00DC4202">
        <w:rPr>
          <w:lang w:eastAsia="zh-CN"/>
        </w:rPr>
        <w:t xml:space="preserve"> is reasonable that the existing approach for PC1.5 with 3Tx could be reused for SAR mitigation </w:t>
      </w:r>
      <w:r w:rsidR="00DC4202" w:rsidRPr="0038453D">
        <w:t>PC1.5 UE for two band NR inter-band uplink CA with 2Tx and/or 3Tx for handheld and FWA</w:t>
      </w:r>
      <w:r w:rsidR="00DC4202">
        <w:t>.</w:t>
      </w:r>
      <w:r w:rsidR="0085090E">
        <w:rPr>
          <w:lang w:eastAsia="zh-CN"/>
        </w:rPr>
        <w:t xml:space="preserve"> </w:t>
      </w:r>
    </w:p>
    <w:p w14:paraId="1BC7F2EB" w14:textId="77777777" w:rsidR="0085090E" w:rsidRPr="00DC4202" w:rsidRDefault="00DC4202" w:rsidP="0085090E">
      <w:pPr>
        <w:rPr>
          <w:b/>
          <w:lang w:val="en-US" w:eastAsia="zh-CN"/>
        </w:rPr>
      </w:pPr>
      <w:r w:rsidRPr="00DC4202">
        <w:rPr>
          <w:b/>
          <w:lang w:val="en-US" w:eastAsia="zh-CN"/>
        </w:rPr>
        <w:t>Proposal 3: the existing approach for PC1.5 with 3Tx could be reused for SAR mitigation PC1.5 UE for two band NR inter-band uplink CA with 2Tx and/or 3Tx for handheld and FWA.</w:t>
      </w:r>
    </w:p>
    <w:p w14:paraId="60BEE135" w14:textId="77777777" w:rsidR="00DC4202" w:rsidRPr="00183B9B" w:rsidRDefault="00DC4202" w:rsidP="00DC4202">
      <w:pPr>
        <w:rPr>
          <w:b/>
          <w:bCs/>
          <w:lang w:val="en-US" w:eastAsia="zh-CN"/>
        </w:rPr>
      </w:pPr>
      <w:r w:rsidRPr="00183B9B">
        <w:rPr>
          <w:b/>
          <w:bCs/>
          <w:lang w:val="en-US" w:eastAsia="zh-CN"/>
        </w:rPr>
        <w:t xml:space="preserve">For PC1.5 inter-band </w:t>
      </w:r>
      <w:r w:rsidR="000009AA">
        <w:rPr>
          <w:b/>
          <w:bCs/>
          <w:lang w:val="en-US" w:eastAsia="zh-CN"/>
        </w:rPr>
        <w:t>EN-</w:t>
      </w:r>
      <w:r>
        <w:rPr>
          <w:b/>
          <w:bCs/>
          <w:lang w:val="en-US" w:eastAsia="zh-CN"/>
        </w:rPr>
        <w:t>DC</w:t>
      </w:r>
    </w:p>
    <w:p w14:paraId="15D2A52B" w14:textId="77777777" w:rsidR="00B378E8" w:rsidRPr="00185E94" w:rsidRDefault="0096776A" w:rsidP="007D0587">
      <w:pPr>
        <w:rPr>
          <w:rFonts w:eastAsia="等线" w:hint="eastAsia"/>
          <w:lang w:eastAsia="zh-CN"/>
        </w:rPr>
      </w:pPr>
      <w:r>
        <w:rPr>
          <w:lang w:eastAsia="zh-CN"/>
        </w:rPr>
        <w:t xml:space="preserve">For </w:t>
      </w:r>
      <w:r w:rsidRPr="0096776A">
        <w:rPr>
          <w:bCs/>
          <w:lang w:eastAsia="zh-CN"/>
        </w:rPr>
        <w:t>PC1.5 inter-band EN-DC with 2Tx and 3Tx case</w:t>
      </w:r>
      <w:r>
        <w:rPr>
          <w:bCs/>
          <w:lang w:eastAsia="zh-CN"/>
        </w:rPr>
        <w:t>, the</w:t>
      </w:r>
      <w:r w:rsidR="004119D8">
        <w:rPr>
          <w:bCs/>
          <w:lang w:eastAsia="zh-CN"/>
        </w:rPr>
        <w:t xml:space="preserve"> dutycycle approach could be defined based on the existing dutycycle approach for PC2 case with some small changes as shown in the following</w:t>
      </w:r>
      <w:r w:rsidR="007C3908">
        <w:rPr>
          <w:bCs/>
          <w:lang w:eastAsia="zh-CN"/>
        </w:rPr>
        <w:t xml:space="preserve"> table </w:t>
      </w:r>
      <w:r w:rsidR="000009AA">
        <w:rPr>
          <w:bCs/>
          <w:lang w:eastAsia="zh-CN"/>
        </w:rPr>
        <w:t>1</w:t>
      </w:r>
      <w:r w:rsidR="00F76BD4">
        <w:rPr>
          <w:bCs/>
          <w:lang w:eastAsia="zh-CN"/>
        </w:rPr>
        <w:t xml:space="preserve"> at lease for TDD+TDD and FDD+TDD case. If FDD+FDD case is introduced, dutycycle approach should be studied further.</w:t>
      </w:r>
    </w:p>
    <w:p w14:paraId="4D172036" w14:textId="77777777" w:rsidR="00B378E8" w:rsidRPr="0068250F" w:rsidRDefault="003F2D18" w:rsidP="007D0587">
      <w:pPr>
        <w:rPr>
          <w:b/>
          <w:bCs/>
          <w:lang w:eastAsia="zh-CN"/>
        </w:rPr>
      </w:pPr>
      <w:r w:rsidRPr="0068250F">
        <w:rPr>
          <w:rFonts w:hint="eastAsia"/>
          <w:b/>
          <w:bCs/>
          <w:lang w:eastAsia="zh-CN"/>
        </w:rPr>
        <w:t>T</w:t>
      </w:r>
      <w:r w:rsidRPr="0068250F">
        <w:rPr>
          <w:b/>
          <w:bCs/>
          <w:lang w:eastAsia="zh-CN"/>
        </w:rPr>
        <w:t xml:space="preserve">able </w:t>
      </w:r>
      <w:r w:rsidR="000009AA">
        <w:rPr>
          <w:b/>
          <w:bCs/>
          <w:lang w:eastAsia="zh-CN"/>
        </w:rPr>
        <w:t>1</w:t>
      </w:r>
      <w:r w:rsidRPr="0068250F">
        <w:rPr>
          <w:b/>
          <w:bCs/>
          <w:lang w:eastAsia="zh-CN"/>
        </w:rPr>
        <w:t xml:space="preserve">, SAR solution proposed for PC1.5 </w:t>
      </w:r>
      <w:r w:rsidRPr="0068250F">
        <w:rPr>
          <w:rFonts w:hint="eastAsia"/>
          <w:b/>
          <w:bCs/>
          <w:lang w:eastAsia="zh-CN"/>
        </w:rPr>
        <w:t>inter</w:t>
      </w:r>
      <w:r w:rsidRPr="0068250F">
        <w:rPr>
          <w:b/>
          <w:bCs/>
          <w:lang w:eastAsia="zh-CN"/>
        </w:rPr>
        <w:t xml:space="preserve">-band EN-DC with 2Tx and 3Tx case </w:t>
      </w:r>
    </w:p>
    <w:tbl>
      <w:tblPr>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72"/>
        <w:gridCol w:w="4157"/>
      </w:tblGrid>
      <w:tr w:rsidR="00334D99" w14:paraId="00BD7D77" w14:textId="77777777" w:rsidTr="00221C75">
        <w:tc>
          <w:tcPr>
            <w:tcW w:w="4927" w:type="dxa"/>
            <w:shd w:val="clear" w:color="auto" w:fill="auto"/>
          </w:tcPr>
          <w:p w14:paraId="0B3B9D4C" w14:textId="77777777" w:rsidR="00334D99" w:rsidRDefault="00334D99" w:rsidP="00221C75">
            <w:pPr>
              <w:rPr>
                <w:rFonts w:hint="eastAsia"/>
                <w:lang w:eastAsia="zh-CN"/>
              </w:rPr>
            </w:pPr>
            <w:r>
              <w:rPr>
                <w:rFonts w:hint="eastAsia"/>
                <w:lang w:eastAsia="zh-CN"/>
              </w:rPr>
              <w:t>T</w:t>
            </w:r>
            <w:r>
              <w:rPr>
                <w:lang w:eastAsia="zh-CN"/>
              </w:rPr>
              <w:t>DD + TDD</w:t>
            </w:r>
          </w:p>
        </w:tc>
        <w:tc>
          <w:tcPr>
            <w:tcW w:w="4928" w:type="dxa"/>
            <w:shd w:val="clear" w:color="auto" w:fill="auto"/>
          </w:tcPr>
          <w:p w14:paraId="090E32BF" w14:textId="77777777" w:rsidR="00334D99" w:rsidRDefault="00334D99" w:rsidP="00221C75">
            <w:pPr>
              <w:rPr>
                <w:lang w:eastAsia="zh-CN"/>
              </w:rPr>
            </w:pPr>
            <w:r>
              <w:rPr>
                <w:lang w:eastAsia="zh-CN"/>
              </w:rPr>
              <w:t>FDD + TDD</w:t>
            </w:r>
          </w:p>
        </w:tc>
      </w:tr>
      <w:tr w:rsidR="00334D99" w14:paraId="1324A131" w14:textId="77777777" w:rsidTr="00221C75">
        <w:tc>
          <w:tcPr>
            <w:tcW w:w="4927" w:type="dxa"/>
            <w:shd w:val="clear" w:color="auto" w:fill="auto"/>
          </w:tcPr>
          <w:p w14:paraId="0082FAED" w14:textId="77777777" w:rsidR="00334D99" w:rsidRPr="00221C75" w:rsidRDefault="00334D99" w:rsidP="00334D99">
            <w:pPr>
              <w:rPr>
                <w:i/>
              </w:rPr>
            </w:pPr>
            <w:r w:rsidRPr="00221C75">
              <w:rPr>
                <w:i/>
              </w:rPr>
              <w:t>0.5*maxUplinkDutyCycle-interBandENDC-TDD-PC2-r16  or 15% (if capability is absent) as the max uplink dutycycle that PC1.5 inter-band CA case.</w:t>
            </w:r>
          </w:p>
          <w:p w14:paraId="3BE10E85" w14:textId="77777777" w:rsidR="00334D99" w:rsidRPr="00221C75" w:rsidRDefault="00334D99" w:rsidP="00334D99">
            <w:pPr>
              <w:rPr>
                <w:i/>
              </w:rPr>
            </w:pPr>
            <w:r>
              <w:rPr>
                <w:rFonts w:hint="eastAsia"/>
                <w:lang w:eastAsia="zh-CN"/>
              </w:rPr>
              <w:t>i</w:t>
            </w:r>
            <w:r>
              <w:rPr>
                <w:lang w:eastAsia="zh-CN"/>
              </w:rPr>
              <w:t>f Dutycycle</w:t>
            </w:r>
            <w:r w:rsidRPr="00221C75">
              <w:rPr>
                <w:vertAlign w:val="subscript"/>
                <w:lang w:eastAsia="zh-CN"/>
              </w:rPr>
              <w:t>NR</w:t>
            </w:r>
            <w:r w:rsidRPr="00221C75">
              <w:rPr>
                <w:lang w:bidi="bn-IN"/>
              </w:rPr>
              <w:t>≤0.5*</w:t>
            </w:r>
            <w:r w:rsidRPr="00221C75">
              <w:rPr>
                <w:rFonts w:cs="Arial"/>
                <w:i/>
                <w:szCs w:val="18"/>
                <w:lang w:eastAsia="ko-KR"/>
              </w:rPr>
              <w:t>maxUplinkDutyCycle</w:t>
            </w:r>
            <w:r w:rsidRPr="00221C75">
              <w:rPr>
                <w:i/>
              </w:rPr>
              <w:t>, the requirements for PC1.5 applies</w:t>
            </w:r>
          </w:p>
          <w:p w14:paraId="43F6E10A" w14:textId="77777777" w:rsidR="00334D99" w:rsidRPr="00221C75" w:rsidRDefault="00334D99" w:rsidP="00334D99">
            <w:pPr>
              <w:rPr>
                <w:i/>
              </w:rPr>
            </w:pPr>
            <w:r>
              <w:rPr>
                <w:rFonts w:hint="eastAsia"/>
                <w:lang w:eastAsia="zh-CN"/>
              </w:rPr>
              <w:t>i</w:t>
            </w:r>
            <w:r>
              <w:rPr>
                <w:lang w:eastAsia="zh-CN"/>
              </w:rPr>
              <w:t xml:space="preserve">f  </w:t>
            </w:r>
            <w:r w:rsidRPr="00221C75">
              <w:rPr>
                <w:lang w:bidi="bn-IN"/>
              </w:rPr>
              <w:t>0.5*</w:t>
            </w:r>
            <w:r w:rsidRPr="00221C75">
              <w:rPr>
                <w:rFonts w:cs="Arial"/>
                <w:i/>
                <w:szCs w:val="18"/>
                <w:lang w:eastAsia="ko-KR"/>
              </w:rPr>
              <w:t>maxUplinkDutyCycle</w:t>
            </w:r>
            <w:r w:rsidRPr="00221C75">
              <w:rPr>
                <w:rFonts w:hint="eastAsia"/>
                <w:lang w:bidi="bn-IN"/>
              </w:rPr>
              <w:t>＜</w:t>
            </w:r>
            <w:r>
              <w:rPr>
                <w:lang w:eastAsia="zh-CN"/>
              </w:rPr>
              <w:t>Dutycycle</w:t>
            </w:r>
            <w:r w:rsidRPr="00221C75">
              <w:rPr>
                <w:vertAlign w:val="subscript"/>
                <w:lang w:eastAsia="zh-CN"/>
              </w:rPr>
              <w:t>NR</w:t>
            </w:r>
            <w:r w:rsidRPr="00221C75">
              <w:rPr>
                <w:lang w:bidi="bn-IN"/>
              </w:rPr>
              <w:t>≤*</w:t>
            </w:r>
            <w:r w:rsidRPr="00221C75">
              <w:rPr>
                <w:rFonts w:cs="Arial"/>
                <w:i/>
                <w:szCs w:val="18"/>
                <w:lang w:eastAsia="ko-KR"/>
              </w:rPr>
              <w:t>maxUplinkDutyCycle</w:t>
            </w:r>
            <w:r w:rsidRPr="00221C75">
              <w:rPr>
                <w:i/>
              </w:rPr>
              <w:t>, the requirements for PC2 applies</w:t>
            </w:r>
          </w:p>
          <w:p w14:paraId="71240A41" w14:textId="77777777" w:rsidR="00334D99" w:rsidRPr="0011327B" w:rsidRDefault="00334D99" w:rsidP="00334D99">
            <w:pPr>
              <w:rPr>
                <w:rFonts w:hint="eastAsia"/>
                <w:lang w:eastAsia="zh-CN"/>
              </w:rPr>
            </w:pPr>
            <w:r>
              <w:rPr>
                <w:lang w:eastAsia="zh-CN"/>
              </w:rPr>
              <w:t>otherwise the requirement for PC3 applies</w:t>
            </w:r>
          </w:p>
        </w:tc>
        <w:tc>
          <w:tcPr>
            <w:tcW w:w="4928" w:type="dxa"/>
            <w:shd w:val="clear" w:color="auto" w:fill="auto"/>
          </w:tcPr>
          <w:p w14:paraId="0EAA66B6" w14:textId="77777777" w:rsidR="00334D99" w:rsidRPr="00221C75" w:rsidRDefault="00334D99" w:rsidP="00221C75">
            <w:pPr>
              <w:rPr>
                <w:rFonts w:cs="Arial"/>
                <w:i/>
                <w:szCs w:val="18"/>
                <w:lang w:eastAsia="zh-CN"/>
              </w:rPr>
            </w:pPr>
            <w:r>
              <w:rPr>
                <w:lang w:eastAsia="zh-CN"/>
              </w:rPr>
              <w:t>R</w:t>
            </w:r>
            <w:r>
              <w:rPr>
                <w:rFonts w:hint="eastAsia"/>
                <w:lang w:eastAsia="zh-CN"/>
              </w:rPr>
              <w:t>euse</w:t>
            </w:r>
            <w:r>
              <w:t xml:space="preserve"> </w:t>
            </w:r>
            <w:r w:rsidRPr="00EF5447">
              <w:t>two capabilities</w:t>
            </w:r>
            <w:r w:rsidRPr="00221C75">
              <w:rPr>
                <w:rFonts w:hint="eastAsia"/>
                <w:lang w:val="en-US" w:eastAsia="zh-CN"/>
              </w:rPr>
              <w:t xml:space="preserve"> </w:t>
            </w:r>
            <w:r w:rsidRPr="00221C75">
              <w:rPr>
                <w:rFonts w:cs="Arial"/>
                <w:i/>
                <w:szCs w:val="18"/>
                <w:lang w:eastAsia="ko-KR"/>
              </w:rPr>
              <w:t>maxUplinkDutyCycle</w:t>
            </w:r>
            <w:r w:rsidRPr="00221C75">
              <w:rPr>
                <w:rFonts w:cs="Arial"/>
                <w:i/>
                <w:szCs w:val="18"/>
                <w:lang w:eastAsia="zh-CN"/>
              </w:rPr>
              <w:t>-FDD-TDD-EN-DC1</w:t>
            </w:r>
            <w:r w:rsidRPr="00EF5447">
              <w:t xml:space="preserve"> and </w:t>
            </w:r>
            <w:r w:rsidRPr="00221C75">
              <w:rPr>
                <w:rFonts w:cs="Arial"/>
                <w:i/>
                <w:szCs w:val="18"/>
                <w:lang w:eastAsia="ko-KR"/>
              </w:rPr>
              <w:t>maxUplinkDutyCycle</w:t>
            </w:r>
            <w:r w:rsidRPr="00221C75">
              <w:rPr>
                <w:rFonts w:cs="Arial"/>
                <w:i/>
                <w:szCs w:val="18"/>
                <w:lang w:eastAsia="zh-CN"/>
              </w:rPr>
              <w:t>-FDD-TDD-EN-DC</w:t>
            </w:r>
            <w:r w:rsidRPr="00221C75">
              <w:rPr>
                <w:rFonts w:cs="Arial" w:hint="eastAsia"/>
                <w:i/>
                <w:szCs w:val="18"/>
                <w:lang w:val="en-US" w:eastAsia="zh-CN"/>
              </w:rPr>
              <w:t>2</w:t>
            </w:r>
            <w:r w:rsidRPr="00221C75">
              <w:rPr>
                <w:rFonts w:cs="Arial"/>
                <w:i/>
                <w:szCs w:val="18"/>
                <w:lang w:eastAsia="ko-KR"/>
              </w:rPr>
              <w:t xml:space="preserve"> are introduced</w:t>
            </w:r>
          </w:p>
          <w:p w14:paraId="3A331AC6" w14:textId="77777777" w:rsidR="00334D99" w:rsidRDefault="00334D99" w:rsidP="00221C75">
            <w:r>
              <w:t xml:space="preserve">if </w:t>
            </w:r>
            <w:r>
              <w:rPr>
                <w:lang w:eastAsia="zh-CN"/>
              </w:rPr>
              <w:t>40%</w:t>
            </w:r>
            <w:r w:rsidRPr="00221C75">
              <w:rPr>
                <w:lang w:bidi="bn-IN"/>
              </w:rPr>
              <w:t xml:space="preserve">≤  </w:t>
            </w:r>
            <w:r>
              <w:rPr>
                <w:lang w:eastAsia="zh-CN"/>
              </w:rPr>
              <w:t>Dutycycle</w:t>
            </w:r>
            <w:r w:rsidRPr="00221C75">
              <w:rPr>
                <w:vertAlign w:val="subscript"/>
                <w:lang w:eastAsia="zh-CN"/>
              </w:rPr>
              <w:t>LTE</w:t>
            </w:r>
            <w:r w:rsidRPr="00221C75">
              <w:rPr>
                <w:lang w:bidi="bn-IN"/>
              </w:rPr>
              <w:t xml:space="preserve">≤ 70% and </w:t>
            </w:r>
            <w:r>
              <w:rPr>
                <w:lang w:eastAsia="zh-CN"/>
              </w:rPr>
              <w:t>Dutycycle</w:t>
            </w:r>
            <w:r w:rsidRPr="00221C75">
              <w:rPr>
                <w:vertAlign w:val="subscript"/>
                <w:lang w:eastAsia="zh-CN"/>
              </w:rPr>
              <w:t>NR</w:t>
            </w:r>
            <w:r w:rsidRPr="00221C75">
              <w:rPr>
                <w:lang w:bidi="bn-IN"/>
              </w:rPr>
              <w:t>≤0.5*</w:t>
            </w:r>
            <w:r w:rsidRPr="00221C75">
              <w:rPr>
                <w:rFonts w:cs="Arial"/>
                <w:i/>
                <w:szCs w:val="18"/>
                <w:lang w:eastAsia="ko-KR"/>
              </w:rPr>
              <w:t>maxUplinkDutyCycle</w:t>
            </w:r>
            <w:r w:rsidRPr="00221C75">
              <w:rPr>
                <w:rFonts w:cs="Arial"/>
                <w:i/>
                <w:szCs w:val="18"/>
                <w:lang w:eastAsia="zh-CN"/>
              </w:rPr>
              <w:t>-FDD-TDD-EN-DC1,</w:t>
            </w:r>
          </w:p>
          <w:p w14:paraId="559702C8" w14:textId="77777777" w:rsidR="00334D99" w:rsidRDefault="00334D99" w:rsidP="00221C75">
            <w:pPr>
              <w:rPr>
                <w:lang w:eastAsia="zh-CN"/>
              </w:rPr>
            </w:pPr>
            <w:r>
              <w:rPr>
                <w:lang w:eastAsia="zh-CN"/>
              </w:rPr>
              <w:t>or</w:t>
            </w:r>
          </w:p>
          <w:p w14:paraId="1D529F3B" w14:textId="77777777" w:rsidR="00334D99" w:rsidRPr="00221C75" w:rsidRDefault="00334D99" w:rsidP="00221C75">
            <w:pPr>
              <w:rPr>
                <w:i/>
              </w:rPr>
            </w:pPr>
            <w:r>
              <w:rPr>
                <w:rFonts w:hint="eastAsia"/>
                <w:lang w:eastAsia="zh-CN"/>
              </w:rPr>
              <w:t>i</w:t>
            </w:r>
            <w:r>
              <w:rPr>
                <w:lang w:eastAsia="zh-CN"/>
              </w:rPr>
              <w:t xml:space="preserve">f </w:t>
            </w:r>
            <w:r w:rsidRPr="00221C75">
              <w:rPr>
                <w:lang w:bidi="bn-IN"/>
              </w:rPr>
              <w:t xml:space="preserve"> </w:t>
            </w:r>
            <w:r>
              <w:rPr>
                <w:lang w:eastAsia="zh-CN"/>
              </w:rPr>
              <w:t>Dutycycle</w:t>
            </w:r>
            <w:r w:rsidRPr="00221C75">
              <w:rPr>
                <w:vertAlign w:val="subscript"/>
                <w:lang w:eastAsia="zh-CN"/>
              </w:rPr>
              <w:t>LTE</w:t>
            </w:r>
            <w:r w:rsidRPr="00221C75">
              <w:rPr>
                <w:lang w:bidi="bn-IN"/>
              </w:rPr>
              <w:t xml:space="preserve">≤ 40% and </w:t>
            </w:r>
            <w:r>
              <w:rPr>
                <w:lang w:eastAsia="zh-CN"/>
              </w:rPr>
              <w:t>Dutycycle</w:t>
            </w:r>
            <w:r w:rsidRPr="00221C75">
              <w:rPr>
                <w:vertAlign w:val="subscript"/>
                <w:lang w:eastAsia="zh-CN"/>
              </w:rPr>
              <w:t>NR</w:t>
            </w:r>
            <w:r w:rsidRPr="00221C75">
              <w:rPr>
                <w:lang w:bidi="bn-IN"/>
              </w:rPr>
              <w:t>≤0.5*</w:t>
            </w:r>
            <w:r w:rsidRPr="00221C75">
              <w:rPr>
                <w:rFonts w:cs="Arial"/>
                <w:i/>
                <w:szCs w:val="18"/>
                <w:lang w:eastAsia="ko-KR"/>
              </w:rPr>
              <w:t>maxUplinkDutyCycle</w:t>
            </w:r>
            <w:r w:rsidRPr="00221C75">
              <w:rPr>
                <w:rFonts w:cs="Arial"/>
                <w:i/>
                <w:szCs w:val="18"/>
                <w:lang w:eastAsia="zh-CN"/>
              </w:rPr>
              <w:t>-FDD-TDD-EN-DC2</w:t>
            </w:r>
            <w:r w:rsidRPr="00221C75">
              <w:rPr>
                <w:i/>
              </w:rPr>
              <w:t>, the requirements for PC1.5 applies</w:t>
            </w:r>
          </w:p>
          <w:p w14:paraId="05B3557B" w14:textId="77777777" w:rsidR="00334D99" w:rsidRDefault="00334D99" w:rsidP="00334D99">
            <w:r>
              <w:t xml:space="preserve">if </w:t>
            </w:r>
            <w:r>
              <w:rPr>
                <w:lang w:eastAsia="zh-CN"/>
              </w:rPr>
              <w:t>40%</w:t>
            </w:r>
            <w:r w:rsidRPr="00221C75">
              <w:rPr>
                <w:lang w:bidi="bn-IN"/>
              </w:rPr>
              <w:t xml:space="preserve">≤  </w:t>
            </w:r>
            <w:r>
              <w:rPr>
                <w:lang w:eastAsia="zh-CN"/>
              </w:rPr>
              <w:t>Dutycycle</w:t>
            </w:r>
            <w:r w:rsidRPr="00221C75">
              <w:rPr>
                <w:vertAlign w:val="subscript"/>
                <w:lang w:eastAsia="zh-CN"/>
              </w:rPr>
              <w:t>LTE</w:t>
            </w:r>
            <w:r w:rsidRPr="00221C75">
              <w:rPr>
                <w:lang w:bidi="bn-IN"/>
              </w:rPr>
              <w:t>≤ 70% and 0.5*</w:t>
            </w:r>
            <w:r w:rsidRPr="00221C75">
              <w:rPr>
                <w:rFonts w:cs="Arial"/>
                <w:i/>
                <w:szCs w:val="18"/>
                <w:lang w:eastAsia="ko-KR"/>
              </w:rPr>
              <w:t>maxUplinkDutyCycle</w:t>
            </w:r>
            <w:r w:rsidRPr="00221C75">
              <w:rPr>
                <w:rFonts w:cs="Arial"/>
                <w:i/>
                <w:szCs w:val="18"/>
                <w:lang w:eastAsia="zh-CN"/>
              </w:rPr>
              <w:t>-FDD-TDD-EN-DC1</w:t>
            </w:r>
            <w:r w:rsidRPr="00221C75">
              <w:rPr>
                <w:rFonts w:hint="eastAsia"/>
                <w:lang w:bidi="bn-IN"/>
              </w:rPr>
              <w:t>＜</w:t>
            </w:r>
            <w:r>
              <w:rPr>
                <w:lang w:eastAsia="zh-CN"/>
              </w:rPr>
              <w:t>Dutycycle</w:t>
            </w:r>
            <w:r w:rsidRPr="00221C75">
              <w:rPr>
                <w:vertAlign w:val="subscript"/>
                <w:lang w:eastAsia="zh-CN"/>
              </w:rPr>
              <w:t>NR</w:t>
            </w:r>
            <w:r w:rsidRPr="00221C75">
              <w:rPr>
                <w:lang w:bidi="bn-IN"/>
              </w:rPr>
              <w:t>≤</w:t>
            </w:r>
            <w:r w:rsidRPr="00221C75">
              <w:rPr>
                <w:rFonts w:cs="Arial"/>
                <w:i/>
                <w:szCs w:val="18"/>
                <w:lang w:eastAsia="ko-KR"/>
              </w:rPr>
              <w:t>maxUplinkDutyCycle</w:t>
            </w:r>
            <w:r w:rsidRPr="00221C75">
              <w:rPr>
                <w:rFonts w:cs="Arial"/>
                <w:i/>
                <w:szCs w:val="18"/>
                <w:lang w:eastAsia="zh-CN"/>
              </w:rPr>
              <w:t>-FDD-TDD-EN-DC1,</w:t>
            </w:r>
          </w:p>
          <w:p w14:paraId="4BE30841" w14:textId="77777777" w:rsidR="00334D99" w:rsidRPr="00221C75" w:rsidRDefault="00334D99" w:rsidP="00221C75">
            <w:pPr>
              <w:rPr>
                <w:i/>
                <w:lang w:eastAsia="zh-CN"/>
              </w:rPr>
            </w:pPr>
            <w:r w:rsidRPr="00221C75">
              <w:rPr>
                <w:rFonts w:hint="eastAsia"/>
                <w:i/>
                <w:lang w:eastAsia="zh-CN"/>
              </w:rPr>
              <w:t>o</w:t>
            </w:r>
            <w:r w:rsidRPr="00221C75">
              <w:rPr>
                <w:i/>
                <w:lang w:eastAsia="zh-CN"/>
              </w:rPr>
              <w:t>r</w:t>
            </w:r>
          </w:p>
          <w:p w14:paraId="5FC084C5" w14:textId="77777777" w:rsidR="00334D99" w:rsidRPr="00221C75" w:rsidRDefault="00334D99" w:rsidP="00221C75">
            <w:pPr>
              <w:rPr>
                <w:rFonts w:hint="eastAsia"/>
                <w:i/>
                <w:lang w:eastAsia="zh-CN"/>
              </w:rPr>
            </w:pPr>
            <w:r>
              <w:rPr>
                <w:rFonts w:hint="eastAsia"/>
                <w:lang w:eastAsia="zh-CN"/>
              </w:rPr>
              <w:t>i</w:t>
            </w:r>
            <w:r>
              <w:rPr>
                <w:lang w:eastAsia="zh-CN"/>
              </w:rPr>
              <w:t xml:space="preserve">f </w:t>
            </w:r>
            <w:r w:rsidRPr="00221C75">
              <w:rPr>
                <w:lang w:bidi="bn-IN"/>
              </w:rPr>
              <w:t xml:space="preserve"> </w:t>
            </w:r>
            <w:r>
              <w:rPr>
                <w:lang w:eastAsia="zh-CN"/>
              </w:rPr>
              <w:t>Dutycycle</w:t>
            </w:r>
            <w:r w:rsidRPr="00221C75">
              <w:rPr>
                <w:vertAlign w:val="subscript"/>
                <w:lang w:eastAsia="zh-CN"/>
              </w:rPr>
              <w:t>LTE</w:t>
            </w:r>
            <w:r w:rsidRPr="00221C75">
              <w:rPr>
                <w:lang w:bidi="bn-IN"/>
              </w:rPr>
              <w:t>≤ 40% and 0.5*</w:t>
            </w:r>
            <w:r w:rsidRPr="00221C75">
              <w:rPr>
                <w:rFonts w:cs="Arial"/>
                <w:i/>
                <w:szCs w:val="18"/>
                <w:lang w:eastAsia="ko-KR"/>
              </w:rPr>
              <w:t>maxUplinkDutyCycle</w:t>
            </w:r>
            <w:r w:rsidRPr="00221C75">
              <w:rPr>
                <w:rFonts w:cs="Arial"/>
                <w:i/>
                <w:szCs w:val="18"/>
                <w:lang w:eastAsia="zh-CN"/>
              </w:rPr>
              <w:t>-FDD-TDD-EN-DC2</w:t>
            </w:r>
            <w:r w:rsidRPr="00221C75">
              <w:rPr>
                <w:rFonts w:hint="eastAsia"/>
                <w:lang w:bidi="bn-IN"/>
              </w:rPr>
              <w:t>＜</w:t>
            </w:r>
            <w:r>
              <w:rPr>
                <w:lang w:eastAsia="zh-CN"/>
              </w:rPr>
              <w:t>Dutycycle</w:t>
            </w:r>
            <w:r w:rsidRPr="00221C75">
              <w:rPr>
                <w:vertAlign w:val="subscript"/>
                <w:lang w:eastAsia="zh-CN"/>
              </w:rPr>
              <w:t>NR</w:t>
            </w:r>
            <w:r w:rsidRPr="00221C75">
              <w:rPr>
                <w:lang w:bidi="bn-IN"/>
              </w:rPr>
              <w:t>≤</w:t>
            </w:r>
            <w:r w:rsidRPr="00221C75">
              <w:rPr>
                <w:rFonts w:cs="Arial"/>
                <w:i/>
                <w:szCs w:val="18"/>
                <w:lang w:eastAsia="ko-KR"/>
              </w:rPr>
              <w:t>maxUplinkDutyCycle</w:t>
            </w:r>
            <w:r w:rsidRPr="00221C75">
              <w:rPr>
                <w:rFonts w:cs="Arial"/>
                <w:i/>
                <w:szCs w:val="18"/>
                <w:lang w:eastAsia="zh-CN"/>
              </w:rPr>
              <w:t xml:space="preserve">-FDD-TDD-EN-DC2, </w:t>
            </w:r>
            <w:r w:rsidRPr="00221C75">
              <w:rPr>
                <w:i/>
              </w:rPr>
              <w:t>the requirements for PC2 applies</w:t>
            </w:r>
          </w:p>
          <w:p w14:paraId="77B26DA1" w14:textId="77777777" w:rsidR="00334D99" w:rsidRDefault="004C3C5F" w:rsidP="00221C75">
            <w:pPr>
              <w:rPr>
                <w:lang w:eastAsia="zh-CN"/>
              </w:rPr>
            </w:pPr>
            <w:r>
              <w:rPr>
                <w:lang w:eastAsia="zh-CN"/>
              </w:rPr>
              <w:t>otherwise,</w:t>
            </w:r>
            <w:r w:rsidR="00334D99">
              <w:rPr>
                <w:lang w:eastAsia="zh-CN"/>
              </w:rPr>
              <w:t xml:space="preserve"> the requirement for PC3 applies</w:t>
            </w:r>
          </w:p>
        </w:tc>
      </w:tr>
    </w:tbl>
    <w:p w14:paraId="7F489742" w14:textId="77777777" w:rsidR="00B378E8" w:rsidRDefault="00B378E8" w:rsidP="007D0587">
      <w:pPr>
        <w:rPr>
          <w:lang w:eastAsia="zh-CN"/>
        </w:rPr>
      </w:pPr>
    </w:p>
    <w:p w14:paraId="1EDFC39A" w14:textId="77777777" w:rsidR="004119D8" w:rsidRPr="007C3908" w:rsidRDefault="00784BC5" w:rsidP="007D0587">
      <w:pPr>
        <w:rPr>
          <w:rFonts w:hint="eastAsia"/>
          <w:lang w:eastAsia="zh-CN"/>
        </w:rPr>
      </w:pPr>
      <w:r>
        <w:rPr>
          <w:lang w:eastAsia="zh-CN"/>
        </w:rPr>
        <w:t xml:space="preserve">However, considering the </w:t>
      </w:r>
      <w:r w:rsidR="00ED70F0">
        <w:rPr>
          <w:lang w:eastAsia="zh-CN"/>
        </w:rPr>
        <w:t xml:space="preserve">current </w:t>
      </w:r>
      <w:r>
        <w:rPr>
          <w:lang w:eastAsia="zh-CN"/>
        </w:rPr>
        <w:t xml:space="preserve">dutycycle approach </w:t>
      </w:r>
      <w:r w:rsidR="00ED70F0">
        <w:rPr>
          <w:lang w:eastAsia="zh-CN"/>
        </w:rPr>
        <w:t xml:space="preserve">for EN-DC </w:t>
      </w:r>
      <w:r w:rsidR="00F76BD4">
        <w:rPr>
          <w:lang w:eastAsia="zh-CN"/>
        </w:rPr>
        <w:t>is a bit complicated and inconsistent between different power class for different band combination case. We are also ok to reconsider a unify approach on SAR solution for all possible</w:t>
      </w:r>
      <w:r w:rsidR="007C3908">
        <w:rPr>
          <w:lang w:eastAsia="zh-CN"/>
        </w:rPr>
        <w:t xml:space="preserve"> HP UE scenarios</w:t>
      </w:r>
      <w:r w:rsidR="00F76BD4">
        <w:rPr>
          <w:lang w:eastAsia="zh-CN"/>
        </w:rPr>
        <w:t>.</w:t>
      </w:r>
      <w:r w:rsidR="007C3908">
        <w:rPr>
          <w:lang w:eastAsia="zh-CN"/>
        </w:rPr>
        <w:t xml:space="preserve"> For example, </w:t>
      </w:r>
      <w:r w:rsidR="007C3908" w:rsidRPr="007C3908">
        <w:rPr>
          <w:lang w:eastAsia="zh-CN"/>
        </w:rPr>
        <w:t>Duty-cycle solution is not considered for any HPUE scenarios in this WI</w:t>
      </w:r>
      <w:r w:rsidR="007C3908">
        <w:rPr>
          <w:lang w:eastAsia="zh-CN"/>
        </w:rPr>
        <w:t>, or SAR solution relies on per single band manner</w:t>
      </w:r>
    </w:p>
    <w:p w14:paraId="095FB1E8" w14:textId="77777777" w:rsidR="0068250F" w:rsidRDefault="0068250F" w:rsidP="007D0587">
      <w:pPr>
        <w:rPr>
          <w:b/>
          <w:bCs/>
          <w:lang w:eastAsia="zh-CN"/>
        </w:rPr>
      </w:pPr>
      <w:r w:rsidRPr="007C3908">
        <w:rPr>
          <w:rFonts w:hint="eastAsia"/>
          <w:b/>
          <w:bCs/>
          <w:lang w:val="en-US" w:eastAsia="zh-CN"/>
        </w:rPr>
        <w:t>P</w:t>
      </w:r>
      <w:r w:rsidRPr="007C3908">
        <w:rPr>
          <w:b/>
          <w:bCs/>
          <w:lang w:val="en-US" w:eastAsia="zh-CN"/>
        </w:rPr>
        <w:t xml:space="preserve">roposal </w:t>
      </w:r>
      <w:r w:rsidR="00884CCE">
        <w:rPr>
          <w:b/>
          <w:bCs/>
          <w:lang w:val="en-US" w:eastAsia="zh-CN"/>
        </w:rPr>
        <w:t>4</w:t>
      </w:r>
      <w:r w:rsidRPr="007C3908">
        <w:rPr>
          <w:b/>
          <w:bCs/>
          <w:lang w:val="en-US" w:eastAsia="zh-CN"/>
        </w:rPr>
        <w:t>:</w:t>
      </w:r>
      <w:r w:rsidR="007C3908" w:rsidRPr="007C3908">
        <w:rPr>
          <w:b/>
          <w:bCs/>
          <w:lang w:eastAsia="zh-CN"/>
        </w:rPr>
        <w:t xml:space="preserve"> For PC1.5 inter-band EN-DC with 2Tx and 3Tx case, the duty cycle approach could be defined based on the existing dutycycle approach for PC2 case with some small changes as shown in the</w:t>
      </w:r>
      <w:r w:rsidR="000009AA">
        <w:rPr>
          <w:b/>
          <w:bCs/>
          <w:lang w:eastAsia="zh-CN"/>
        </w:rPr>
        <w:t xml:space="preserve"> t</w:t>
      </w:r>
      <w:r w:rsidR="007C3908" w:rsidRPr="007C3908">
        <w:rPr>
          <w:b/>
          <w:bCs/>
          <w:lang w:eastAsia="zh-CN"/>
        </w:rPr>
        <w:t xml:space="preserve">able </w:t>
      </w:r>
      <w:r w:rsidR="000009AA">
        <w:rPr>
          <w:b/>
          <w:bCs/>
          <w:lang w:eastAsia="zh-CN"/>
        </w:rPr>
        <w:t>1</w:t>
      </w:r>
      <w:r w:rsidR="007C3908" w:rsidRPr="007C3908">
        <w:rPr>
          <w:b/>
          <w:bCs/>
          <w:lang w:eastAsia="zh-CN"/>
        </w:rPr>
        <w:t xml:space="preserve"> for TDD+TDD </w:t>
      </w:r>
      <w:r w:rsidR="007970D1">
        <w:rPr>
          <w:b/>
          <w:bCs/>
          <w:lang w:eastAsia="zh-CN"/>
        </w:rPr>
        <w:t xml:space="preserve">case </w:t>
      </w:r>
      <w:r w:rsidR="007C3908" w:rsidRPr="007C3908">
        <w:rPr>
          <w:b/>
          <w:bCs/>
          <w:lang w:eastAsia="zh-CN"/>
        </w:rPr>
        <w:t>and FDD+TDD case</w:t>
      </w:r>
      <w:r w:rsidRPr="007C3908">
        <w:rPr>
          <w:b/>
          <w:bCs/>
          <w:lang w:eastAsia="zh-CN"/>
        </w:rPr>
        <w:t>.</w:t>
      </w:r>
      <w:r w:rsidR="00783904">
        <w:rPr>
          <w:b/>
          <w:bCs/>
          <w:lang w:eastAsia="zh-CN"/>
        </w:rPr>
        <w:t xml:space="preserve"> </w:t>
      </w:r>
    </w:p>
    <w:p w14:paraId="3738C548" w14:textId="77777777" w:rsidR="007C3908" w:rsidRPr="003E7B6E" w:rsidRDefault="007C3908" w:rsidP="007D0587">
      <w:pPr>
        <w:rPr>
          <w:b/>
          <w:bCs/>
          <w:lang w:eastAsia="zh-CN"/>
        </w:rPr>
      </w:pPr>
      <w:r w:rsidRPr="003E7B6E">
        <w:rPr>
          <w:rFonts w:hint="eastAsia"/>
          <w:b/>
          <w:bCs/>
          <w:lang w:eastAsia="zh-CN"/>
        </w:rPr>
        <w:t>P</w:t>
      </w:r>
      <w:r w:rsidRPr="003E7B6E">
        <w:rPr>
          <w:b/>
          <w:bCs/>
          <w:lang w:eastAsia="zh-CN"/>
        </w:rPr>
        <w:t xml:space="preserve">roposal </w:t>
      </w:r>
      <w:r w:rsidR="00884CCE">
        <w:rPr>
          <w:b/>
          <w:bCs/>
          <w:lang w:eastAsia="zh-CN"/>
        </w:rPr>
        <w:t>5</w:t>
      </w:r>
      <w:r w:rsidRPr="003E7B6E">
        <w:rPr>
          <w:b/>
          <w:bCs/>
          <w:lang w:eastAsia="zh-CN"/>
        </w:rPr>
        <w:t xml:space="preserve">: </w:t>
      </w:r>
      <w:r w:rsidR="000009AA">
        <w:rPr>
          <w:b/>
          <w:bCs/>
          <w:lang w:eastAsia="zh-CN"/>
        </w:rPr>
        <w:t xml:space="preserve">For simplicity, </w:t>
      </w:r>
      <w:r w:rsidR="00A573CD">
        <w:rPr>
          <w:b/>
          <w:bCs/>
          <w:lang w:eastAsia="zh-CN"/>
        </w:rPr>
        <w:t xml:space="preserve">only P-MPR is considered (i.e., </w:t>
      </w:r>
      <w:r w:rsidR="003E7B6E" w:rsidRPr="003E7B6E">
        <w:rPr>
          <w:b/>
          <w:bCs/>
          <w:lang w:eastAsia="zh-CN"/>
        </w:rPr>
        <w:t>Duty-cycle solution is not considered</w:t>
      </w:r>
      <w:r w:rsidR="00A573CD">
        <w:rPr>
          <w:b/>
          <w:bCs/>
          <w:lang w:eastAsia="zh-CN"/>
        </w:rPr>
        <w:t>)</w:t>
      </w:r>
      <w:r w:rsidR="00ED70F0">
        <w:rPr>
          <w:b/>
          <w:bCs/>
          <w:lang w:eastAsia="zh-CN"/>
        </w:rPr>
        <w:t xml:space="preserve"> for</w:t>
      </w:r>
      <w:r w:rsidR="000009AA">
        <w:rPr>
          <w:b/>
          <w:bCs/>
          <w:lang w:eastAsia="zh-CN"/>
        </w:rPr>
        <w:t xml:space="preserve"> inter-band EN-DC is also acceptable.</w:t>
      </w:r>
    </w:p>
    <w:p w14:paraId="17F5373F" w14:textId="77777777" w:rsidR="00571C34" w:rsidRDefault="00571C34" w:rsidP="0026121A">
      <w:pPr>
        <w:pStyle w:val="1"/>
        <w:numPr>
          <w:ilvl w:val="0"/>
          <w:numId w:val="35"/>
        </w:numPr>
        <w:spacing w:before="0" w:after="120"/>
        <w:rPr>
          <w:rFonts w:hint="eastAsia"/>
          <w:b/>
          <w:sz w:val="28"/>
          <w:szCs w:val="24"/>
          <w:lang w:eastAsia="zh-CN"/>
        </w:rPr>
      </w:pPr>
      <w:r>
        <w:rPr>
          <w:rFonts w:hint="eastAsia"/>
          <w:b/>
          <w:sz w:val="28"/>
          <w:szCs w:val="24"/>
          <w:lang w:eastAsia="zh-CN"/>
        </w:rPr>
        <w:lastRenderedPageBreak/>
        <w:t>Conclusion</w:t>
      </w:r>
    </w:p>
    <w:p w14:paraId="3555286E" w14:textId="77777777" w:rsidR="002B5C3D" w:rsidRDefault="00616AFA" w:rsidP="002B5C3D">
      <w:pPr>
        <w:rPr>
          <w:lang w:val="en-US" w:eastAsia="zh-CN"/>
        </w:rPr>
      </w:pPr>
      <w:r>
        <w:rPr>
          <w:lang w:eastAsia="zh-CN"/>
        </w:rPr>
        <w:t>I</w:t>
      </w:r>
      <w:r>
        <w:rPr>
          <w:rFonts w:hint="eastAsia"/>
          <w:lang w:eastAsia="zh-CN"/>
        </w:rPr>
        <w:t xml:space="preserve">n this </w:t>
      </w:r>
      <w:r>
        <w:rPr>
          <w:lang w:eastAsia="zh-CN"/>
        </w:rPr>
        <w:t xml:space="preserve">paper, </w:t>
      </w:r>
      <w:r>
        <w:rPr>
          <w:rFonts w:hint="eastAsia"/>
          <w:lang w:val="en-US" w:eastAsia="zh-CN"/>
        </w:rPr>
        <w:t xml:space="preserve">we give the </w:t>
      </w:r>
      <w:r w:rsidR="00A573CD">
        <w:rPr>
          <w:lang w:val="en-US" w:eastAsia="zh-CN"/>
        </w:rPr>
        <w:t>fu</w:t>
      </w:r>
      <w:r w:rsidR="0097700C">
        <w:rPr>
          <w:lang w:val="en-US" w:eastAsia="zh-CN"/>
        </w:rPr>
        <w:t>r</w:t>
      </w:r>
      <w:r w:rsidR="00A573CD">
        <w:rPr>
          <w:lang w:val="en-US" w:eastAsia="zh-CN"/>
        </w:rPr>
        <w:t>ther</w:t>
      </w:r>
      <w:r>
        <w:rPr>
          <w:rFonts w:hint="eastAsia"/>
          <w:lang w:val="en-US" w:eastAsia="zh-CN"/>
        </w:rPr>
        <w:t xml:space="preserve"> analysis </w:t>
      </w:r>
      <w:r>
        <w:rPr>
          <w:lang w:val="en-US" w:eastAsia="zh-CN"/>
        </w:rPr>
        <w:t>based on the objective listed in the WID and make the following proposals</w:t>
      </w:r>
      <w:r>
        <w:rPr>
          <w:rFonts w:hint="eastAsia"/>
          <w:lang w:val="en-US" w:eastAsia="zh-CN"/>
        </w:rPr>
        <w:t>:</w:t>
      </w:r>
    </w:p>
    <w:p w14:paraId="1EFCD4D0" w14:textId="77777777" w:rsidR="00057009" w:rsidRPr="00057009" w:rsidRDefault="00057009" w:rsidP="002B5C3D">
      <w:pPr>
        <w:rPr>
          <w:rFonts w:hint="eastAsia"/>
          <w:b/>
          <w:bCs/>
          <w:lang w:val="en-US" w:eastAsia="zh-CN"/>
        </w:rPr>
      </w:pPr>
      <w:r w:rsidRPr="00057009">
        <w:rPr>
          <w:rFonts w:hint="eastAsia"/>
          <w:b/>
          <w:bCs/>
          <w:lang w:val="en-US" w:eastAsia="zh-CN"/>
        </w:rPr>
        <w:t>M</w:t>
      </w:r>
      <w:r w:rsidRPr="00057009">
        <w:rPr>
          <w:b/>
          <w:bCs/>
          <w:lang w:val="en-US" w:eastAsia="zh-CN"/>
        </w:rPr>
        <w:t>SD rules</w:t>
      </w:r>
    </w:p>
    <w:p w14:paraId="647CE2A9" w14:textId="77777777" w:rsidR="00057009" w:rsidRPr="0026121A" w:rsidRDefault="00057009" w:rsidP="00057009">
      <w:pPr>
        <w:rPr>
          <w:b/>
          <w:bCs/>
          <w:szCs w:val="24"/>
          <w:lang w:eastAsia="zh-CN"/>
        </w:rPr>
      </w:pPr>
      <w:r w:rsidRPr="0026121A">
        <w:rPr>
          <w:b/>
          <w:bCs/>
          <w:lang w:val="en-US" w:eastAsia="zh-CN"/>
        </w:rPr>
        <w:t xml:space="preserve">Observation </w:t>
      </w:r>
      <w:r w:rsidR="000009AA">
        <w:rPr>
          <w:b/>
          <w:bCs/>
          <w:lang w:val="en-US" w:eastAsia="zh-CN"/>
        </w:rPr>
        <w:t>1</w:t>
      </w:r>
      <w:r w:rsidRPr="0026121A">
        <w:rPr>
          <w:b/>
          <w:bCs/>
          <w:lang w:val="en-US" w:eastAsia="zh-CN"/>
        </w:rPr>
        <w:t xml:space="preserve">: </w:t>
      </w:r>
    </w:p>
    <w:p w14:paraId="261068F4" w14:textId="77777777" w:rsidR="00057009" w:rsidRPr="0026121A" w:rsidRDefault="00057009" w:rsidP="00057009">
      <w:pPr>
        <w:numPr>
          <w:ilvl w:val="2"/>
          <w:numId w:val="35"/>
        </w:numPr>
        <w:rPr>
          <w:b/>
          <w:bCs/>
          <w:szCs w:val="24"/>
          <w:lang w:eastAsia="zh-CN"/>
        </w:rPr>
      </w:pPr>
      <w:r w:rsidRPr="0026121A">
        <w:rPr>
          <w:b/>
          <w:bCs/>
          <w:szCs w:val="24"/>
          <w:lang w:eastAsia="zh-CN"/>
        </w:rPr>
        <w:t xml:space="preserve">for the same band combinations, the MSD difference between different IMD orders vary greatly. </w:t>
      </w:r>
    </w:p>
    <w:p w14:paraId="5E972045" w14:textId="77777777" w:rsidR="00057009" w:rsidRDefault="00057009" w:rsidP="00057009">
      <w:pPr>
        <w:numPr>
          <w:ilvl w:val="2"/>
          <w:numId w:val="35"/>
        </w:numPr>
        <w:rPr>
          <w:b/>
          <w:bCs/>
          <w:szCs w:val="24"/>
          <w:lang w:eastAsia="zh-CN"/>
        </w:rPr>
      </w:pPr>
      <w:r w:rsidRPr="0026121A">
        <w:rPr>
          <w:rFonts w:hint="eastAsia"/>
          <w:b/>
          <w:bCs/>
          <w:szCs w:val="24"/>
          <w:lang w:eastAsia="zh-CN"/>
        </w:rPr>
        <w:t>f</w:t>
      </w:r>
      <w:r w:rsidRPr="0026121A">
        <w:rPr>
          <w:b/>
          <w:bCs/>
          <w:szCs w:val="24"/>
          <w:lang w:eastAsia="zh-CN"/>
        </w:rPr>
        <w:t>or the same IMD orders, the MSD difference between different band combinations vary greatly.</w:t>
      </w:r>
    </w:p>
    <w:p w14:paraId="66BDE9C8" w14:textId="77777777" w:rsidR="000009AA" w:rsidRPr="00185E94" w:rsidRDefault="000009AA" w:rsidP="000009AA">
      <w:pPr>
        <w:rPr>
          <w:rFonts w:eastAsia="等线" w:hint="eastAsia"/>
          <w:b/>
          <w:bCs/>
          <w:lang w:val="en-US" w:eastAsia="zh-CN"/>
        </w:rPr>
      </w:pPr>
      <w:r w:rsidRPr="00F2734F">
        <w:rPr>
          <w:rFonts w:hint="eastAsia"/>
          <w:b/>
          <w:bCs/>
          <w:lang w:val="en-US" w:eastAsia="zh-CN"/>
        </w:rPr>
        <w:t>O</w:t>
      </w:r>
      <w:r w:rsidRPr="00F2734F">
        <w:rPr>
          <w:b/>
          <w:bCs/>
          <w:lang w:val="en-US" w:eastAsia="zh-CN"/>
        </w:rPr>
        <w:t>bservation 2: it is hard to get a unify equations or look-up tables to derive PC2/PC1.5 MSD from respective PC3 MSD between different band combinations</w:t>
      </w:r>
      <w:r>
        <w:rPr>
          <w:b/>
          <w:bCs/>
          <w:lang w:val="en-US" w:eastAsia="zh-CN"/>
        </w:rPr>
        <w:t>.</w:t>
      </w:r>
    </w:p>
    <w:p w14:paraId="1EBE7B05" w14:textId="77777777" w:rsidR="00057009" w:rsidRPr="0026121A" w:rsidRDefault="00057009" w:rsidP="00057009">
      <w:pPr>
        <w:rPr>
          <w:rFonts w:hint="eastAsia"/>
          <w:b/>
          <w:bCs/>
          <w:lang w:eastAsia="zh-CN"/>
        </w:rPr>
      </w:pPr>
      <w:r w:rsidRPr="0026121A">
        <w:rPr>
          <w:rFonts w:hint="eastAsia"/>
          <w:b/>
          <w:bCs/>
          <w:lang w:eastAsia="zh-CN"/>
        </w:rPr>
        <w:t>P</w:t>
      </w:r>
      <w:r w:rsidRPr="0026121A">
        <w:rPr>
          <w:b/>
          <w:bCs/>
          <w:lang w:eastAsia="zh-CN"/>
        </w:rPr>
        <w:t xml:space="preserve">roposal 1: adopt </w:t>
      </w:r>
      <w:r>
        <w:rPr>
          <w:b/>
          <w:bCs/>
          <w:lang w:eastAsia="zh-CN"/>
        </w:rPr>
        <w:t xml:space="preserve">the following </w:t>
      </w:r>
      <w:r w:rsidRPr="0026121A">
        <w:rPr>
          <w:b/>
          <w:bCs/>
          <w:lang w:eastAsia="zh-CN"/>
        </w:rPr>
        <w:t xml:space="preserve">option as the MSD general rules when introduction of </w:t>
      </w:r>
      <w:r>
        <w:rPr>
          <w:b/>
          <w:bCs/>
          <w:lang w:eastAsia="zh-CN"/>
        </w:rPr>
        <w:t>PC2 and PC1.5</w:t>
      </w:r>
      <w:r w:rsidRPr="0026121A">
        <w:rPr>
          <w:b/>
          <w:bCs/>
          <w:lang w:eastAsia="zh-CN"/>
        </w:rPr>
        <w:t xml:space="preserve"> inter-band CA/DC</w:t>
      </w:r>
    </w:p>
    <w:p w14:paraId="0C822EBC" w14:textId="77777777" w:rsidR="00057009" w:rsidRPr="00057009" w:rsidRDefault="00057009" w:rsidP="00057009">
      <w:pPr>
        <w:numPr>
          <w:ilvl w:val="0"/>
          <w:numId w:val="36"/>
        </w:numPr>
        <w:rPr>
          <w:b/>
          <w:bCs/>
          <w:szCs w:val="24"/>
          <w:lang w:eastAsia="zh-CN"/>
        </w:rPr>
      </w:pPr>
      <w:r w:rsidRPr="00057009">
        <w:rPr>
          <w:b/>
          <w:bCs/>
          <w:szCs w:val="24"/>
          <w:lang w:eastAsia="zh-CN"/>
        </w:rPr>
        <w:t>PC2/PC1.5 MSD requirements are not specified. UE shall meet the Rx requirements of default power class, with default power class transmission</w:t>
      </w:r>
    </w:p>
    <w:p w14:paraId="79479372" w14:textId="77777777" w:rsidR="005C3B87" w:rsidRDefault="005C3B87" w:rsidP="00AC4829">
      <w:pPr>
        <w:rPr>
          <w:b/>
          <w:bCs/>
          <w:lang w:val="en-US" w:eastAsia="zh-CN"/>
        </w:rPr>
      </w:pPr>
    </w:p>
    <w:p w14:paraId="49F0829C" w14:textId="77777777" w:rsidR="0006225E" w:rsidRDefault="0006225E" w:rsidP="00AC4829">
      <w:pPr>
        <w:rPr>
          <w:b/>
          <w:bCs/>
          <w:lang w:val="en-US" w:eastAsia="zh-CN"/>
        </w:rPr>
      </w:pPr>
      <w:r>
        <w:rPr>
          <w:rFonts w:hint="eastAsia"/>
          <w:b/>
          <w:bCs/>
          <w:lang w:val="en-US" w:eastAsia="zh-CN"/>
        </w:rPr>
        <w:t>S</w:t>
      </w:r>
      <w:r>
        <w:rPr>
          <w:b/>
          <w:bCs/>
          <w:lang w:val="en-US" w:eastAsia="zh-CN"/>
        </w:rPr>
        <w:t>AR</w:t>
      </w:r>
      <w:r w:rsidR="00034140">
        <w:rPr>
          <w:b/>
          <w:bCs/>
          <w:lang w:val="en-US" w:eastAsia="zh-CN"/>
        </w:rPr>
        <w:t xml:space="preserve"> issue</w:t>
      </w:r>
    </w:p>
    <w:p w14:paraId="2ACF80CD" w14:textId="77777777" w:rsidR="00582A11" w:rsidRPr="003720BC" w:rsidRDefault="00582A11" w:rsidP="00AC4829">
      <w:pPr>
        <w:rPr>
          <w:rFonts w:eastAsia="等线"/>
          <w:b/>
          <w:bCs/>
          <w:lang w:val="en-US" w:eastAsia="zh-CN"/>
        </w:rPr>
      </w:pPr>
      <w:r w:rsidRPr="003720BC">
        <w:rPr>
          <w:rFonts w:eastAsia="等线" w:hint="eastAsia"/>
          <w:b/>
          <w:bCs/>
          <w:lang w:val="en-US" w:eastAsia="zh-CN"/>
        </w:rPr>
        <w:t>F</w:t>
      </w:r>
      <w:r w:rsidRPr="003720BC">
        <w:rPr>
          <w:rFonts w:eastAsia="等线"/>
          <w:b/>
          <w:bCs/>
          <w:lang w:val="en-US" w:eastAsia="zh-CN"/>
        </w:rPr>
        <w:t>or PC1.5 intra-band CA</w:t>
      </w:r>
    </w:p>
    <w:p w14:paraId="758D020D" w14:textId="77777777" w:rsidR="00582A11" w:rsidRDefault="00582A11" w:rsidP="00582A11">
      <w:pPr>
        <w:rPr>
          <w:b/>
          <w:bCs/>
        </w:rPr>
      </w:pPr>
      <w:r w:rsidRPr="008B7C7A">
        <w:rPr>
          <w:b/>
          <w:bCs/>
          <w:lang w:eastAsia="zh-CN"/>
        </w:rPr>
        <w:t xml:space="preserve">Observation </w:t>
      </w:r>
      <w:r w:rsidR="00D26B22">
        <w:rPr>
          <w:b/>
          <w:bCs/>
          <w:lang w:eastAsia="zh-CN"/>
        </w:rPr>
        <w:t>3</w:t>
      </w:r>
      <w:r w:rsidRPr="008B7C7A">
        <w:rPr>
          <w:b/>
          <w:bCs/>
          <w:lang w:eastAsia="zh-CN"/>
        </w:rPr>
        <w:t>:</w:t>
      </w:r>
      <w:r w:rsidRPr="008B7C7A">
        <w:rPr>
          <w:b/>
          <w:bCs/>
          <w:lang w:val="en-US" w:eastAsia="zh-CN"/>
        </w:rPr>
        <w:t xml:space="preserve"> the capabilit</w:t>
      </w:r>
      <w:r>
        <w:rPr>
          <w:b/>
          <w:bCs/>
          <w:lang w:val="en-US" w:eastAsia="zh-CN"/>
        </w:rPr>
        <w:t>ies</w:t>
      </w:r>
      <w:r w:rsidRPr="008B7C7A">
        <w:rPr>
          <w:b/>
          <w:bCs/>
          <w:lang w:val="en-US" w:eastAsia="zh-CN"/>
        </w:rPr>
        <w:t>, i.e.</w:t>
      </w:r>
      <w:r w:rsidRPr="008B7C7A">
        <w:rPr>
          <w:b/>
          <w:bCs/>
          <w:i/>
        </w:rPr>
        <w:t xml:space="preserve"> maxUplinkDutyCycle-PC2-FR1</w:t>
      </w:r>
      <w:r w:rsidRPr="008B7C7A">
        <w:rPr>
          <w:b/>
          <w:bCs/>
          <w:lang w:val="en-US" w:eastAsia="zh-CN"/>
        </w:rPr>
        <w:t xml:space="preserve">, </w:t>
      </w:r>
      <w:r w:rsidRPr="008B7C7A">
        <w:rPr>
          <w:b/>
          <w:bCs/>
          <w:i/>
          <w:iCs/>
        </w:rPr>
        <w:t xml:space="preserve">maxUplinkDutyCycle-PC1dot5-MPE-FR1 </w:t>
      </w:r>
      <w:r w:rsidRPr="008B7C7A">
        <w:rPr>
          <w:b/>
          <w:bCs/>
        </w:rPr>
        <w:t>could be reused for PC1.5 case</w:t>
      </w:r>
      <w:r>
        <w:rPr>
          <w:b/>
          <w:bCs/>
        </w:rPr>
        <w:t>.</w:t>
      </w:r>
      <w:r w:rsidRPr="008B7C7A">
        <w:rPr>
          <w:b/>
          <w:bCs/>
        </w:rPr>
        <w:t xml:space="preserve"> </w:t>
      </w:r>
      <w:r>
        <w:rPr>
          <w:b/>
          <w:bCs/>
        </w:rPr>
        <w:t>I</w:t>
      </w:r>
      <w:r w:rsidRPr="008B7C7A">
        <w:rPr>
          <w:b/>
          <w:bCs/>
        </w:rPr>
        <w:t>n other words, the capability is already there and there would no new capability introduced</w:t>
      </w:r>
      <w:r>
        <w:rPr>
          <w:b/>
          <w:bCs/>
        </w:rPr>
        <w:t xml:space="preserve"> for PC1.5 case.</w:t>
      </w:r>
    </w:p>
    <w:p w14:paraId="3D9494CC" w14:textId="77777777" w:rsidR="00170E13" w:rsidRPr="00616AFA" w:rsidRDefault="00170E13" w:rsidP="00170E13">
      <w:pPr>
        <w:rPr>
          <w:b/>
          <w:lang w:val="en-US" w:eastAsia="zh-CN"/>
        </w:rPr>
      </w:pPr>
      <w:r w:rsidRPr="00616AFA">
        <w:rPr>
          <w:rFonts w:hint="eastAsia"/>
          <w:b/>
          <w:lang w:val="en-US" w:eastAsia="zh-CN"/>
        </w:rPr>
        <w:t>P</w:t>
      </w:r>
      <w:r w:rsidRPr="00616AFA">
        <w:rPr>
          <w:b/>
          <w:lang w:val="en-US" w:eastAsia="zh-CN"/>
        </w:rPr>
        <w:t xml:space="preserve">roposal </w:t>
      </w:r>
      <w:r>
        <w:rPr>
          <w:b/>
          <w:lang w:val="en-US" w:eastAsia="zh-CN"/>
        </w:rPr>
        <w:t>2</w:t>
      </w:r>
      <w:r w:rsidRPr="00616AFA">
        <w:rPr>
          <w:b/>
          <w:lang w:val="en-US" w:eastAsia="zh-CN"/>
        </w:rPr>
        <w:t>: To mitigate the SAR issue, the following is proposed for PC1.5 intra-band CA.</w:t>
      </w:r>
    </w:p>
    <w:p w14:paraId="081D3B7E" w14:textId="77777777" w:rsidR="00170E13" w:rsidRPr="007D081B" w:rsidRDefault="00170E13" w:rsidP="00170E13">
      <w:pPr>
        <w:numPr>
          <w:ilvl w:val="1"/>
          <w:numId w:val="29"/>
        </w:numPr>
        <w:rPr>
          <w:b/>
          <w:lang w:val="en-US" w:eastAsia="zh-CN"/>
        </w:rPr>
      </w:pPr>
      <w:r w:rsidRPr="00616AFA">
        <w:rPr>
          <w:rFonts w:hint="eastAsia"/>
          <w:b/>
          <w:lang w:val="en-US" w:eastAsia="zh-CN"/>
        </w:rPr>
        <w:t>P-MPR is available for the UE for SAR mitigation method</w:t>
      </w:r>
    </w:p>
    <w:p w14:paraId="647FFB08" w14:textId="77777777" w:rsidR="00170E13" w:rsidRPr="007D081B" w:rsidRDefault="00170E13" w:rsidP="00170E13">
      <w:pPr>
        <w:numPr>
          <w:ilvl w:val="1"/>
          <w:numId w:val="29"/>
        </w:numPr>
        <w:rPr>
          <w:b/>
          <w:lang w:val="en-US" w:eastAsia="zh-CN"/>
        </w:rPr>
      </w:pPr>
      <w:r w:rsidRPr="00616AFA">
        <w:rPr>
          <w:rFonts w:hint="eastAsia"/>
          <w:b/>
          <w:lang w:val="en-US" w:eastAsia="zh-CN"/>
        </w:rPr>
        <w:t xml:space="preserve">Duty cycle based SAR solution:  </w:t>
      </w:r>
      <w:r w:rsidRPr="00616AFA">
        <w:rPr>
          <w:b/>
          <w:lang w:val="en-US" w:eastAsia="zh-CN"/>
        </w:rPr>
        <w:t>Reuse the capability for single carrier case, i.e.</w:t>
      </w:r>
      <w:r w:rsidRPr="00616AFA">
        <w:rPr>
          <w:b/>
          <w:i/>
        </w:rPr>
        <w:t xml:space="preserve"> maxUplinkDutyCycle-PC2-FR1</w:t>
      </w:r>
      <w:r w:rsidRPr="00616AFA">
        <w:rPr>
          <w:b/>
          <w:lang w:val="en-US" w:eastAsia="zh-CN"/>
        </w:rPr>
        <w:t xml:space="preserve">, </w:t>
      </w:r>
      <w:r w:rsidRPr="00616AFA">
        <w:rPr>
          <w:b/>
          <w:i/>
          <w:iCs/>
        </w:rPr>
        <w:t>maxUplinkDutyCycle-PC1dot5-MPE-FR1</w:t>
      </w:r>
    </w:p>
    <w:p w14:paraId="1CCE4CD5" w14:textId="77777777" w:rsidR="00170E13" w:rsidRPr="008B7C7A" w:rsidRDefault="00170E13" w:rsidP="00170E13">
      <w:pPr>
        <w:numPr>
          <w:ilvl w:val="1"/>
          <w:numId w:val="29"/>
        </w:numPr>
        <w:rPr>
          <w:rFonts w:hint="eastAsia"/>
          <w:b/>
          <w:lang w:val="en-US" w:eastAsia="zh-CN"/>
        </w:rPr>
      </w:pPr>
      <w:r w:rsidRPr="00616AFA">
        <w:rPr>
          <w:rFonts w:hint="eastAsia"/>
          <w:b/>
          <w:lang w:val="en-US" w:eastAsia="zh-CN"/>
        </w:rPr>
        <w:t>Fallback behavior:  same fallback behavior as single carrier PC</w:t>
      </w:r>
      <w:r w:rsidRPr="00616AFA">
        <w:rPr>
          <w:b/>
          <w:lang w:val="en-US" w:eastAsia="zh-CN"/>
        </w:rPr>
        <w:t>1.5</w:t>
      </w:r>
      <w:r w:rsidRPr="00616AFA">
        <w:rPr>
          <w:rFonts w:hint="eastAsia"/>
          <w:b/>
          <w:lang w:val="en-US" w:eastAsia="zh-CN"/>
        </w:rPr>
        <w:t xml:space="preserve">. i.e. fallback to the corresponding PC3 </w:t>
      </w:r>
      <w:r w:rsidRPr="00616AFA">
        <w:rPr>
          <w:b/>
          <w:lang w:val="en-US" w:eastAsia="zh-CN"/>
        </w:rPr>
        <w:t xml:space="preserve">or PC2 </w:t>
      </w:r>
      <w:r w:rsidRPr="00616AFA">
        <w:rPr>
          <w:rFonts w:hint="eastAsia"/>
          <w:b/>
          <w:lang w:val="en-US" w:eastAsia="zh-CN"/>
        </w:rPr>
        <w:t>intra-band non-contiguous CA in case of the dutycycle condition is not met.</w:t>
      </w:r>
    </w:p>
    <w:p w14:paraId="31664293" w14:textId="77777777" w:rsidR="00170E13" w:rsidRPr="00170E13" w:rsidRDefault="00170E13" w:rsidP="00170E13">
      <w:pPr>
        <w:rPr>
          <w:rFonts w:eastAsia="等线"/>
          <w:b/>
          <w:bCs/>
          <w:lang w:val="en-US" w:eastAsia="zh-CN"/>
        </w:rPr>
      </w:pPr>
      <w:r w:rsidRPr="00170E13">
        <w:rPr>
          <w:rFonts w:eastAsia="等线" w:hint="eastAsia"/>
          <w:b/>
          <w:bCs/>
          <w:lang w:val="en-US" w:eastAsia="zh-CN"/>
        </w:rPr>
        <w:t>F</w:t>
      </w:r>
      <w:r w:rsidRPr="00170E13">
        <w:rPr>
          <w:rFonts w:eastAsia="等线"/>
          <w:b/>
          <w:bCs/>
          <w:lang w:val="en-US" w:eastAsia="zh-CN"/>
        </w:rPr>
        <w:t>or PC1.5 in</w:t>
      </w:r>
      <w:r w:rsidR="006E5D81">
        <w:rPr>
          <w:rFonts w:eastAsia="等线"/>
          <w:b/>
          <w:bCs/>
          <w:lang w:val="en-US" w:eastAsia="zh-CN"/>
        </w:rPr>
        <w:t>t</w:t>
      </w:r>
      <w:r>
        <w:rPr>
          <w:rFonts w:eastAsia="等线"/>
          <w:b/>
          <w:bCs/>
          <w:lang w:val="en-US" w:eastAsia="zh-CN"/>
        </w:rPr>
        <w:t>er-band</w:t>
      </w:r>
      <w:r w:rsidRPr="00170E13">
        <w:rPr>
          <w:rFonts w:eastAsia="等线"/>
          <w:b/>
          <w:bCs/>
          <w:lang w:val="en-US" w:eastAsia="zh-CN"/>
        </w:rPr>
        <w:t xml:space="preserve"> CA</w:t>
      </w:r>
    </w:p>
    <w:p w14:paraId="3B14C7E9" w14:textId="77777777" w:rsidR="000009AA" w:rsidRPr="00DC4202" w:rsidRDefault="000009AA" w:rsidP="000009AA">
      <w:pPr>
        <w:rPr>
          <w:b/>
          <w:lang w:val="en-US" w:eastAsia="zh-CN"/>
        </w:rPr>
      </w:pPr>
      <w:r w:rsidRPr="00DC4202">
        <w:rPr>
          <w:b/>
          <w:lang w:val="en-US" w:eastAsia="zh-CN"/>
        </w:rPr>
        <w:t>Proposal 3: the existing approach for PC1.5 with 3Tx could be reused for SAR mitigation PC1.5 UE for two band NR inter-band uplink CA with 2Tx and/or 3Tx for handheld and FWA.</w:t>
      </w:r>
    </w:p>
    <w:p w14:paraId="27460C90" w14:textId="77777777" w:rsidR="000009AA" w:rsidRPr="00183B9B" w:rsidRDefault="000009AA" w:rsidP="000009AA">
      <w:pPr>
        <w:rPr>
          <w:b/>
          <w:bCs/>
          <w:lang w:val="en-US" w:eastAsia="zh-CN"/>
        </w:rPr>
      </w:pPr>
      <w:r w:rsidRPr="00183B9B">
        <w:rPr>
          <w:b/>
          <w:bCs/>
          <w:lang w:val="en-US" w:eastAsia="zh-CN"/>
        </w:rPr>
        <w:t xml:space="preserve">For PC1.5 inter-band </w:t>
      </w:r>
      <w:r>
        <w:rPr>
          <w:b/>
          <w:bCs/>
          <w:lang w:val="en-US" w:eastAsia="zh-CN"/>
        </w:rPr>
        <w:t>EN-DC</w:t>
      </w:r>
    </w:p>
    <w:p w14:paraId="455CBEC3" w14:textId="77777777" w:rsidR="000009AA" w:rsidRDefault="000009AA" w:rsidP="000009AA">
      <w:pPr>
        <w:rPr>
          <w:b/>
          <w:bCs/>
          <w:lang w:eastAsia="zh-CN"/>
        </w:rPr>
      </w:pPr>
      <w:r w:rsidRPr="007C3908">
        <w:rPr>
          <w:rFonts w:hint="eastAsia"/>
          <w:b/>
          <w:bCs/>
          <w:lang w:val="en-US" w:eastAsia="zh-CN"/>
        </w:rPr>
        <w:t>P</w:t>
      </w:r>
      <w:r w:rsidRPr="007C3908">
        <w:rPr>
          <w:b/>
          <w:bCs/>
          <w:lang w:val="en-US" w:eastAsia="zh-CN"/>
        </w:rPr>
        <w:t xml:space="preserve">roposal </w:t>
      </w:r>
      <w:r>
        <w:rPr>
          <w:b/>
          <w:bCs/>
          <w:lang w:val="en-US" w:eastAsia="zh-CN"/>
        </w:rPr>
        <w:t>4</w:t>
      </w:r>
      <w:r w:rsidRPr="007C3908">
        <w:rPr>
          <w:b/>
          <w:bCs/>
          <w:lang w:val="en-US" w:eastAsia="zh-CN"/>
        </w:rPr>
        <w:t>:</w:t>
      </w:r>
      <w:r w:rsidRPr="007C3908">
        <w:rPr>
          <w:b/>
          <w:bCs/>
          <w:lang w:eastAsia="zh-CN"/>
        </w:rPr>
        <w:t xml:space="preserve"> For PC1.5 inter-band EN-DC with 2Tx and 3Tx case, the duty cycle approach could be defined based on the existing dutycycle approach for PC2 case with some small changes as shown in the</w:t>
      </w:r>
      <w:r>
        <w:rPr>
          <w:b/>
          <w:bCs/>
          <w:lang w:eastAsia="zh-CN"/>
        </w:rPr>
        <w:t xml:space="preserve"> t</w:t>
      </w:r>
      <w:r w:rsidRPr="007C3908">
        <w:rPr>
          <w:b/>
          <w:bCs/>
          <w:lang w:eastAsia="zh-CN"/>
        </w:rPr>
        <w:t xml:space="preserve">able </w:t>
      </w:r>
      <w:r>
        <w:rPr>
          <w:b/>
          <w:bCs/>
          <w:lang w:eastAsia="zh-CN"/>
        </w:rPr>
        <w:t>1</w:t>
      </w:r>
      <w:r w:rsidRPr="007C3908">
        <w:rPr>
          <w:b/>
          <w:bCs/>
          <w:lang w:eastAsia="zh-CN"/>
        </w:rPr>
        <w:t xml:space="preserve"> for TDD+TDD </w:t>
      </w:r>
      <w:r>
        <w:rPr>
          <w:b/>
          <w:bCs/>
          <w:lang w:eastAsia="zh-CN"/>
        </w:rPr>
        <w:t xml:space="preserve">case </w:t>
      </w:r>
      <w:r w:rsidRPr="007C3908">
        <w:rPr>
          <w:b/>
          <w:bCs/>
          <w:lang w:eastAsia="zh-CN"/>
        </w:rPr>
        <w:t>and FDD+TDD case.</w:t>
      </w:r>
    </w:p>
    <w:p w14:paraId="120F1F80" w14:textId="77777777" w:rsidR="00A12F25" w:rsidRPr="003E7B6E" w:rsidRDefault="000009AA" w:rsidP="00AC4829">
      <w:pPr>
        <w:rPr>
          <w:b/>
          <w:bCs/>
          <w:lang w:eastAsia="zh-CN"/>
        </w:rPr>
      </w:pPr>
      <w:r w:rsidRPr="003E7B6E">
        <w:rPr>
          <w:rFonts w:hint="eastAsia"/>
          <w:b/>
          <w:bCs/>
          <w:lang w:eastAsia="zh-CN"/>
        </w:rPr>
        <w:t>P</w:t>
      </w:r>
      <w:r w:rsidRPr="003E7B6E">
        <w:rPr>
          <w:b/>
          <w:bCs/>
          <w:lang w:eastAsia="zh-CN"/>
        </w:rPr>
        <w:t xml:space="preserve">roposal </w:t>
      </w:r>
      <w:r>
        <w:rPr>
          <w:b/>
          <w:bCs/>
          <w:lang w:eastAsia="zh-CN"/>
        </w:rPr>
        <w:t>5</w:t>
      </w:r>
      <w:r w:rsidRPr="003E7B6E">
        <w:rPr>
          <w:b/>
          <w:bCs/>
          <w:lang w:eastAsia="zh-CN"/>
        </w:rPr>
        <w:t>:</w:t>
      </w:r>
      <w:r>
        <w:rPr>
          <w:b/>
          <w:bCs/>
          <w:lang w:eastAsia="zh-CN"/>
        </w:rPr>
        <w:t xml:space="preserve"> For simplicity,</w:t>
      </w:r>
      <w:r w:rsidRPr="003E7B6E">
        <w:rPr>
          <w:b/>
          <w:bCs/>
          <w:lang w:eastAsia="zh-CN"/>
        </w:rPr>
        <w:t xml:space="preserve"> </w:t>
      </w:r>
      <w:r>
        <w:rPr>
          <w:b/>
          <w:bCs/>
          <w:lang w:eastAsia="zh-CN"/>
        </w:rPr>
        <w:t xml:space="preserve">only P-MPR is considered (i.e., </w:t>
      </w:r>
      <w:r w:rsidRPr="003E7B6E">
        <w:rPr>
          <w:b/>
          <w:bCs/>
          <w:lang w:eastAsia="zh-CN"/>
        </w:rPr>
        <w:t>Duty-cycle solution is not considered</w:t>
      </w:r>
      <w:r>
        <w:rPr>
          <w:b/>
          <w:bCs/>
          <w:lang w:eastAsia="zh-CN"/>
        </w:rPr>
        <w:t>) for inter-band EN-DC is also acceptable.</w:t>
      </w:r>
    </w:p>
    <w:p w14:paraId="6938311D" w14:textId="77777777" w:rsidR="00571C34" w:rsidRDefault="00571C34" w:rsidP="00044480">
      <w:pPr>
        <w:pStyle w:val="1"/>
        <w:spacing w:before="0" w:after="120"/>
        <w:ind w:left="420" w:hanging="420"/>
        <w:rPr>
          <w:rFonts w:hint="eastAsia"/>
          <w:b/>
          <w:sz w:val="28"/>
          <w:szCs w:val="24"/>
          <w:lang w:eastAsia="zh-CN"/>
        </w:rPr>
      </w:pPr>
      <w:r>
        <w:rPr>
          <w:rFonts w:hint="eastAsia"/>
          <w:b/>
          <w:sz w:val="28"/>
          <w:szCs w:val="24"/>
          <w:lang w:eastAsia="zh-CN"/>
        </w:rPr>
        <w:t>Reference</w:t>
      </w:r>
    </w:p>
    <w:p w14:paraId="2BC1078B" w14:textId="77777777" w:rsidR="00BF2696" w:rsidRPr="00A465A9" w:rsidRDefault="00BF2696" w:rsidP="00616AFA">
      <w:pPr>
        <w:numPr>
          <w:ilvl w:val="0"/>
          <w:numId w:val="4"/>
        </w:numPr>
        <w:rPr>
          <w:lang w:val="en-US" w:eastAsia="zh-CN"/>
        </w:rPr>
      </w:pPr>
      <w:bookmarkStart w:id="7" w:name="_Hlk165908328"/>
      <w:bookmarkEnd w:id="0"/>
      <w:r>
        <w:rPr>
          <w:rFonts w:hint="eastAsia"/>
          <w:lang w:eastAsia="zh-CN"/>
        </w:rPr>
        <w:t>R</w:t>
      </w:r>
      <w:r>
        <w:rPr>
          <w:lang w:eastAsia="zh-CN"/>
        </w:rPr>
        <w:t>4-2</w:t>
      </w:r>
      <w:r w:rsidR="00A465A9">
        <w:rPr>
          <w:lang w:eastAsia="zh-CN"/>
        </w:rPr>
        <w:t>41</w:t>
      </w:r>
      <w:r w:rsidR="00CA0903">
        <w:rPr>
          <w:lang w:eastAsia="zh-CN"/>
        </w:rPr>
        <w:t>7098</w:t>
      </w:r>
      <w:r>
        <w:rPr>
          <w:lang w:eastAsia="zh-CN"/>
        </w:rPr>
        <w:t xml:space="preserve">, </w:t>
      </w:r>
      <w:r w:rsidR="00004D25" w:rsidRPr="00004D25">
        <w:rPr>
          <w:lang w:eastAsia="zh-CN"/>
        </w:rPr>
        <w:t>WF on HPUE UE for UL CA and EN-DC</w:t>
      </w:r>
      <w:r>
        <w:rPr>
          <w:lang w:eastAsia="zh-CN"/>
        </w:rPr>
        <w:t xml:space="preserve">, </w:t>
      </w:r>
      <w:r w:rsidR="00004D25">
        <w:rPr>
          <w:lang w:eastAsia="zh-CN"/>
        </w:rPr>
        <w:t>Samsung</w:t>
      </w:r>
    </w:p>
    <w:p w14:paraId="274B2974" w14:textId="77777777" w:rsidR="00A465A9" w:rsidRPr="006E5D81" w:rsidRDefault="00A465A9" w:rsidP="00A465A9">
      <w:pPr>
        <w:numPr>
          <w:ilvl w:val="0"/>
          <w:numId w:val="4"/>
        </w:numPr>
        <w:rPr>
          <w:lang w:val="en-US" w:eastAsia="zh-CN"/>
        </w:rPr>
      </w:pPr>
      <w:r>
        <w:rPr>
          <w:lang w:val="en-US" w:eastAsia="zh-CN"/>
        </w:rPr>
        <w:t>RP</w:t>
      </w:r>
      <w:r w:rsidRPr="00F33033">
        <w:rPr>
          <w:lang w:val="en-US" w:eastAsia="zh-CN"/>
        </w:rPr>
        <w:t>-2</w:t>
      </w:r>
      <w:r>
        <w:rPr>
          <w:lang w:val="en-US" w:eastAsia="zh-CN"/>
        </w:rPr>
        <w:t>40828</w:t>
      </w:r>
      <w:r w:rsidRPr="00F33033">
        <w:rPr>
          <w:lang w:val="en-US" w:eastAsia="zh-CN"/>
        </w:rPr>
        <w:t xml:space="preserve">, </w:t>
      </w:r>
      <w:r w:rsidRPr="00616AFA">
        <w:rPr>
          <w:lang w:val="en-US" w:eastAsia="zh-CN"/>
        </w:rPr>
        <w:t>New WID: UE RF enhancements for NR FR1/FR2 and EN-DC, Phase 4</w:t>
      </w:r>
      <w:r>
        <w:rPr>
          <w:lang w:eastAsia="zh-CN"/>
        </w:rPr>
        <w:t xml:space="preserve">, </w:t>
      </w:r>
      <w:r w:rsidRPr="00616AFA">
        <w:rPr>
          <w:lang w:eastAsia="zh-CN"/>
        </w:rPr>
        <w:t>RAN4 chair (Huawei)</w:t>
      </w:r>
    </w:p>
    <w:p w14:paraId="09820556" w14:textId="77777777" w:rsidR="00004D25" w:rsidRPr="00616AFA" w:rsidRDefault="00004D25" w:rsidP="00616AFA">
      <w:pPr>
        <w:numPr>
          <w:ilvl w:val="0"/>
          <w:numId w:val="4"/>
        </w:numPr>
        <w:rPr>
          <w:rFonts w:hint="eastAsia"/>
          <w:lang w:val="en-US" w:eastAsia="zh-CN"/>
        </w:rPr>
      </w:pPr>
      <w:r>
        <w:rPr>
          <w:rFonts w:hint="eastAsia"/>
          <w:lang w:val="en-US" w:eastAsia="zh-CN"/>
        </w:rPr>
        <w:t>R</w:t>
      </w:r>
      <w:r>
        <w:rPr>
          <w:lang w:val="en-US" w:eastAsia="zh-CN"/>
        </w:rPr>
        <w:t>4-24</w:t>
      </w:r>
      <w:r w:rsidR="007965A2">
        <w:rPr>
          <w:lang w:val="en-US" w:eastAsia="zh-CN"/>
        </w:rPr>
        <w:t>15054</w:t>
      </w:r>
      <w:r>
        <w:rPr>
          <w:lang w:val="en-US" w:eastAsia="zh-CN"/>
        </w:rPr>
        <w:t>,</w:t>
      </w:r>
      <w:r w:rsidRPr="00004D25">
        <w:t xml:space="preserve"> </w:t>
      </w:r>
      <w:r w:rsidRPr="00004D25">
        <w:rPr>
          <w:lang w:val="en-US" w:eastAsia="zh-CN"/>
        </w:rPr>
        <w:t xml:space="preserve">Discussion on </w:t>
      </w:r>
      <w:r w:rsidR="007965A2">
        <w:rPr>
          <w:lang w:val="en-US" w:eastAsia="zh-CN"/>
        </w:rPr>
        <w:t>general aspects for high power UE</w:t>
      </w:r>
      <w:r>
        <w:rPr>
          <w:lang w:val="en-US" w:eastAsia="zh-CN"/>
        </w:rPr>
        <w:t>, Xiaomi</w:t>
      </w:r>
      <w:bookmarkEnd w:id="7"/>
    </w:p>
    <w:sectPr w:rsidR="00004D25" w:rsidRPr="00616AFA">
      <w:headerReference w:type="defaul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614F1F" w14:textId="77777777" w:rsidR="00D46905" w:rsidRDefault="00D46905">
      <w:pPr>
        <w:spacing w:after="0"/>
      </w:pPr>
      <w:r>
        <w:separator/>
      </w:r>
    </w:p>
  </w:endnote>
  <w:endnote w:type="continuationSeparator" w:id="0">
    <w:p w14:paraId="49E9BBB4" w14:textId="77777777" w:rsidR="00D46905" w:rsidRDefault="00D469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6D634A" w14:textId="77777777" w:rsidR="00D46905" w:rsidRDefault="00D46905">
      <w:pPr>
        <w:spacing w:after="0"/>
      </w:pPr>
      <w:r>
        <w:separator/>
      </w:r>
    </w:p>
  </w:footnote>
  <w:footnote w:type="continuationSeparator" w:id="0">
    <w:p w14:paraId="6CF34735" w14:textId="77777777" w:rsidR="00D46905" w:rsidRDefault="00D4690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5B9C9" w14:textId="77777777" w:rsidR="00F71023" w:rsidRDefault="00F71023">
    <w:pPr>
      <w:pStyle w:val="af2"/>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7A14444"/>
    <w:multiLevelType w:val="singleLevel"/>
    <w:tmpl w:val="A7A14444"/>
    <w:lvl w:ilvl="0">
      <w:start w:val="1"/>
      <w:numFmt w:val="bullet"/>
      <w:lvlText w:val=""/>
      <w:lvlJc w:val="left"/>
      <w:pPr>
        <w:ind w:left="420" w:hanging="420"/>
      </w:pPr>
      <w:rPr>
        <w:rFonts w:ascii="Wingdings" w:hAnsi="Wingdings" w:hint="default"/>
      </w:rPr>
    </w:lvl>
  </w:abstractNum>
  <w:abstractNum w:abstractNumId="1" w15:restartNumberingAfterBreak="0">
    <w:nsid w:val="B1630783"/>
    <w:multiLevelType w:val="singleLevel"/>
    <w:tmpl w:val="B1630783"/>
    <w:lvl w:ilvl="0">
      <w:start w:val="1"/>
      <w:numFmt w:val="decimal"/>
      <w:lvlText w:val="%1."/>
      <w:lvlJc w:val="left"/>
    </w:lvl>
  </w:abstractNum>
  <w:abstractNum w:abstractNumId="2" w15:restartNumberingAfterBreak="0">
    <w:nsid w:val="C11E7555"/>
    <w:multiLevelType w:val="singleLevel"/>
    <w:tmpl w:val="C11E7555"/>
    <w:lvl w:ilvl="0">
      <w:start w:val="1"/>
      <w:numFmt w:val="decimal"/>
      <w:lvlText w:val="%1)"/>
      <w:lvlJc w:val="left"/>
      <w:pPr>
        <w:tabs>
          <w:tab w:val="num" w:pos="312"/>
        </w:tabs>
      </w:pPr>
    </w:lvl>
  </w:abstractNum>
  <w:abstractNum w:abstractNumId="3" w15:restartNumberingAfterBreak="0">
    <w:nsid w:val="DFAE1895"/>
    <w:multiLevelType w:val="singleLevel"/>
    <w:tmpl w:val="DFAE1895"/>
    <w:lvl w:ilvl="0">
      <w:start w:val="1"/>
      <w:numFmt w:val="decimal"/>
      <w:suff w:val="space"/>
      <w:lvlText w:val="[%1]"/>
      <w:lvlJc w:val="left"/>
      <w:pPr>
        <w:ind w:left="0" w:firstLine="0"/>
      </w:pPr>
    </w:lvl>
  </w:abstractNum>
  <w:abstractNum w:abstractNumId="4" w15:restartNumberingAfterBreak="0">
    <w:nsid w:val="E42A4395"/>
    <w:multiLevelType w:val="singleLevel"/>
    <w:tmpl w:val="E42A4395"/>
    <w:lvl w:ilvl="0">
      <w:start w:val="1"/>
      <w:numFmt w:val="decimal"/>
      <w:suff w:val="space"/>
      <w:lvlText w:val="[%1]"/>
      <w:lvlJc w:val="left"/>
    </w:lvl>
  </w:abstractNum>
  <w:abstractNum w:abstractNumId="5" w15:restartNumberingAfterBreak="0">
    <w:nsid w:val="026F0844"/>
    <w:multiLevelType w:val="hybridMultilevel"/>
    <w:tmpl w:val="4B1CEBBA"/>
    <w:lvl w:ilvl="0" w:tplc="E08E3EBA">
      <w:start w:val="1"/>
      <w:numFmt w:val="bullet"/>
      <w:lvlText w:val="•"/>
      <w:lvlJc w:val="left"/>
      <w:pPr>
        <w:tabs>
          <w:tab w:val="num" w:pos="720"/>
        </w:tabs>
        <w:ind w:left="720" w:hanging="360"/>
      </w:pPr>
      <w:rPr>
        <w:rFonts w:ascii="Arial" w:hAnsi="Arial" w:hint="default"/>
      </w:rPr>
    </w:lvl>
    <w:lvl w:ilvl="1" w:tplc="EB1C2644">
      <w:start w:val="1"/>
      <w:numFmt w:val="bullet"/>
      <w:lvlText w:val="•"/>
      <w:lvlJc w:val="left"/>
      <w:pPr>
        <w:tabs>
          <w:tab w:val="num" w:pos="1440"/>
        </w:tabs>
        <w:ind w:left="1440" w:hanging="360"/>
      </w:pPr>
      <w:rPr>
        <w:rFonts w:ascii="Arial" w:hAnsi="Arial" w:hint="default"/>
      </w:rPr>
    </w:lvl>
    <w:lvl w:ilvl="2" w:tplc="85C8A92A">
      <w:numFmt w:val="none"/>
      <w:lvlText w:val=""/>
      <w:lvlJc w:val="left"/>
      <w:pPr>
        <w:tabs>
          <w:tab w:val="num" w:pos="360"/>
        </w:tabs>
      </w:pPr>
    </w:lvl>
    <w:lvl w:ilvl="3" w:tplc="1F2052F8">
      <w:numFmt w:val="none"/>
      <w:lvlText w:val=""/>
      <w:lvlJc w:val="left"/>
      <w:pPr>
        <w:tabs>
          <w:tab w:val="num" w:pos="360"/>
        </w:tabs>
      </w:pPr>
    </w:lvl>
    <w:lvl w:ilvl="4" w:tplc="73E0CEFA">
      <w:numFmt w:val="none"/>
      <w:lvlText w:val=""/>
      <w:lvlJc w:val="left"/>
      <w:pPr>
        <w:tabs>
          <w:tab w:val="num" w:pos="360"/>
        </w:tabs>
      </w:pPr>
    </w:lvl>
    <w:lvl w:ilvl="5" w:tplc="0D027A4A" w:tentative="1">
      <w:start w:val="1"/>
      <w:numFmt w:val="bullet"/>
      <w:lvlText w:val="•"/>
      <w:lvlJc w:val="left"/>
      <w:pPr>
        <w:tabs>
          <w:tab w:val="num" w:pos="4320"/>
        </w:tabs>
        <w:ind w:left="4320" w:hanging="360"/>
      </w:pPr>
      <w:rPr>
        <w:rFonts w:ascii="Arial" w:hAnsi="Arial" w:hint="default"/>
      </w:rPr>
    </w:lvl>
    <w:lvl w:ilvl="6" w:tplc="C49C2F2E" w:tentative="1">
      <w:start w:val="1"/>
      <w:numFmt w:val="bullet"/>
      <w:lvlText w:val="•"/>
      <w:lvlJc w:val="left"/>
      <w:pPr>
        <w:tabs>
          <w:tab w:val="num" w:pos="5040"/>
        </w:tabs>
        <w:ind w:left="5040" w:hanging="360"/>
      </w:pPr>
      <w:rPr>
        <w:rFonts w:ascii="Arial" w:hAnsi="Arial" w:hint="default"/>
      </w:rPr>
    </w:lvl>
    <w:lvl w:ilvl="7" w:tplc="77823FCE" w:tentative="1">
      <w:start w:val="1"/>
      <w:numFmt w:val="bullet"/>
      <w:lvlText w:val="•"/>
      <w:lvlJc w:val="left"/>
      <w:pPr>
        <w:tabs>
          <w:tab w:val="num" w:pos="5760"/>
        </w:tabs>
        <w:ind w:left="5760" w:hanging="360"/>
      </w:pPr>
      <w:rPr>
        <w:rFonts w:ascii="Arial" w:hAnsi="Arial" w:hint="default"/>
      </w:rPr>
    </w:lvl>
    <w:lvl w:ilvl="8" w:tplc="51C8D1F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696683B"/>
    <w:multiLevelType w:val="hybridMultilevel"/>
    <w:tmpl w:val="9FCE25FC"/>
    <w:lvl w:ilvl="0" w:tplc="67B2AEB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070E6636"/>
    <w:multiLevelType w:val="hybridMultilevel"/>
    <w:tmpl w:val="02EEC3A4"/>
    <w:lvl w:ilvl="0" w:tplc="E70C7370">
      <w:start w:val="1"/>
      <w:numFmt w:val="bullet"/>
      <w:lvlText w:val="•"/>
      <w:lvlJc w:val="left"/>
      <w:pPr>
        <w:tabs>
          <w:tab w:val="num" w:pos="720"/>
        </w:tabs>
        <w:ind w:left="720" w:hanging="360"/>
      </w:pPr>
      <w:rPr>
        <w:rFonts w:ascii="Arial" w:hAnsi="Arial" w:hint="default"/>
      </w:rPr>
    </w:lvl>
    <w:lvl w:ilvl="1" w:tplc="2410FE76">
      <w:start w:val="1"/>
      <w:numFmt w:val="bullet"/>
      <w:lvlText w:val="•"/>
      <w:lvlJc w:val="left"/>
      <w:pPr>
        <w:tabs>
          <w:tab w:val="num" w:pos="644"/>
        </w:tabs>
        <w:ind w:left="644" w:hanging="360"/>
      </w:pPr>
      <w:rPr>
        <w:rFonts w:ascii="Arial" w:hAnsi="Arial" w:hint="default"/>
      </w:rPr>
    </w:lvl>
    <w:lvl w:ilvl="2" w:tplc="B202A334">
      <w:numFmt w:val="none"/>
      <w:lvlText w:val=""/>
      <w:lvlJc w:val="left"/>
      <w:pPr>
        <w:tabs>
          <w:tab w:val="num" w:pos="360"/>
        </w:tabs>
      </w:pPr>
    </w:lvl>
    <w:lvl w:ilvl="3" w:tplc="A12ECEB4">
      <w:start w:val="1"/>
      <w:numFmt w:val="bullet"/>
      <w:lvlText w:val="•"/>
      <w:lvlJc w:val="left"/>
      <w:pPr>
        <w:tabs>
          <w:tab w:val="num" w:pos="1070"/>
        </w:tabs>
        <w:ind w:left="1070" w:hanging="360"/>
      </w:pPr>
      <w:rPr>
        <w:rFonts w:ascii="Arial" w:hAnsi="Arial" w:hint="default"/>
      </w:rPr>
    </w:lvl>
    <w:lvl w:ilvl="4" w:tplc="4E881D96" w:tentative="1">
      <w:start w:val="1"/>
      <w:numFmt w:val="bullet"/>
      <w:lvlText w:val="•"/>
      <w:lvlJc w:val="left"/>
      <w:pPr>
        <w:tabs>
          <w:tab w:val="num" w:pos="3600"/>
        </w:tabs>
        <w:ind w:left="3600" w:hanging="360"/>
      </w:pPr>
      <w:rPr>
        <w:rFonts w:ascii="Arial" w:hAnsi="Arial" w:hint="default"/>
      </w:rPr>
    </w:lvl>
    <w:lvl w:ilvl="5" w:tplc="529C890A" w:tentative="1">
      <w:start w:val="1"/>
      <w:numFmt w:val="bullet"/>
      <w:lvlText w:val="•"/>
      <w:lvlJc w:val="left"/>
      <w:pPr>
        <w:tabs>
          <w:tab w:val="num" w:pos="4320"/>
        </w:tabs>
        <w:ind w:left="4320" w:hanging="360"/>
      </w:pPr>
      <w:rPr>
        <w:rFonts w:ascii="Arial" w:hAnsi="Arial" w:hint="default"/>
      </w:rPr>
    </w:lvl>
    <w:lvl w:ilvl="6" w:tplc="C33A1A66" w:tentative="1">
      <w:start w:val="1"/>
      <w:numFmt w:val="bullet"/>
      <w:lvlText w:val="•"/>
      <w:lvlJc w:val="left"/>
      <w:pPr>
        <w:tabs>
          <w:tab w:val="num" w:pos="5040"/>
        </w:tabs>
        <w:ind w:left="5040" w:hanging="360"/>
      </w:pPr>
      <w:rPr>
        <w:rFonts w:ascii="Arial" w:hAnsi="Arial" w:hint="default"/>
      </w:rPr>
    </w:lvl>
    <w:lvl w:ilvl="7" w:tplc="23389390" w:tentative="1">
      <w:start w:val="1"/>
      <w:numFmt w:val="bullet"/>
      <w:lvlText w:val="•"/>
      <w:lvlJc w:val="left"/>
      <w:pPr>
        <w:tabs>
          <w:tab w:val="num" w:pos="5760"/>
        </w:tabs>
        <w:ind w:left="5760" w:hanging="360"/>
      </w:pPr>
      <w:rPr>
        <w:rFonts w:ascii="Arial" w:hAnsi="Arial" w:hint="default"/>
      </w:rPr>
    </w:lvl>
    <w:lvl w:ilvl="8" w:tplc="96DE30E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99D7848"/>
    <w:multiLevelType w:val="hybridMultilevel"/>
    <w:tmpl w:val="6164CCA0"/>
    <w:lvl w:ilvl="0" w:tplc="C2E8C48A">
      <w:start w:val="1"/>
      <w:numFmt w:val="bullet"/>
      <w:lvlText w:val="•"/>
      <w:lvlJc w:val="left"/>
      <w:pPr>
        <w:tabs>
          <w:tab w:val="num" w:pos="720"/>
        </w:tabs>
        <w:ind w:left="720" w:hanging="360"/>
      </w:pPr>
      <w:rPr>
        <w:rFonts w:ascii="Arial" w:hAnsi="Arial" w:hint="default"/>
      </w:rPr>
    </w:lvl>
    <w:lvl w:ilvl="1" w:tplc="7F0432E6">
      <w:start w:val="1"/>
      <w:numFmt w:val="bullet"/>
      <w:lvlText w:val="•"/>
      <w:lvlJc w:val="left"/>
      <w:pPr>
        <w:tabs>
          <w:tab w:val="num" w:pos="1440"/>
        </w:tabs>
        <w:ind w:left="1440" w:hanging="360"/>
      </w:pPr>
      <w:rPr>
        <w:rFonts w:ascii="Arial" w:hAnsi="Arial" w:hint="default"/>
      </w:rPr>
    </w:lvl>
    <w:lvl w:ilvl="2" w:tplc="188E7750">
      <w:start w:val="16256"/>
      <w:numFmt w:val="bullet"/>
      <w:lvlText w:val="•"/>
      <w:lvlJc w:val="left"/>
      <w:pPr>
        <w:tabs>
          <w:tab w:val="num" w:pos="2160"/>
        </w:tabs>
        <w:ind w:left="2160" w:hanging="360"/>
      </w:pPr>
      <w:rPr>
        <w:rFonts w:ascii="Arial" w:hAnsi="Arial" w:hint="default"/>
      </w:rPr>
    </w:lvl>
    <w:lvl w:ilvl="3" w:tplc="B49EB438" w:tentative="1">
      <w:start w:val="1"/>
      <w:numFmt w:val="bullet"/>
      <w:lvlText w:val="•"/>
      <w:lvlJc w:val="left"/>
      <w:pPr>
        <w:tabs>
          <w:tab w:val="num" w:pos="2880"/>
        </w:tabs>
        <w:ind w:left="2880" w:hanging="360"/>
      </w:pPr>
      <w:rPr>
        <w:rFonts w:ascii="Arial" w:hAnsi="Arial" w:hint="default"/>
      </w:rPr>
    </w:lvl>
    <w:lvl w:ilvl="4" w:tplc="72C675DA" w:tentative="1">
      <w:start w:val="1"/>
      <w:numFmt w:val="bullet"/>
      <w:lvlText w:val="•"/>
      <w:lvlJc w:val="left"/>
      <w:pPr>
        <w:tabs>
          <w:tab w:val="num" w:pos="3600"/>
        </w:tabs>
        <w:ind w:left="3600" w:hanging="360"/>
      </w:pPr>
      <w:rPr>
        <w:rFonts w:ascii="Arial" w:hAnsi="Arial" w:hint="default"/>
      </w:rPr>
    </w:lvl>
    <w:lvl w:ilvl="5" w:tplc="9A0C5C78" w:tentative="1">
      <w:start w:val="1"/>
      <w:numFmt w:val="bullet"/>
      <w:lvlText w:val="•"/>
      <w:lvlJc w:val="left"/>
      <w:pPr>
        <w:tabs>
          <w:tab w:val="num" w:pos="4320"/>
        </w:tabs>
        <w:ind w:left="4320" w:hanging="360"/>
      </w:pPr>
      <w:rPr>
        <w:rFonts w:ascii="Arial" w:hAnsi="Arial" w:hint="default"/>
      </w:rPr>
    </w:lvl>
    <w:lvl w:ilvl="6" w:tplc="BFDE5DBE" w:tentative="1">
      <w:start w:val="1"/>
      <w:numFmt w:val="bullet"/>
      <w:lvlText w:val="•"/>
      <w:lvlJc w:val="left"/>
      <w:pPr>
        <w:tabs>
          <w:tab w:val="num" w:pos="5040"/>
        </w:tabs>
        <w:ind w:left="5040" w:hanging="360"/>
      </w:pPr>
      <w:rPr>
        <w:rFonts w:ascii="Arial" w:hAnsi="Arial" w:hint="default"/>
      </w:rPr>
    </w:lvl>
    <w:lvl w:ilvl="7" w:tplc="B9B84372" w:tentative="1">
      <w:start w:val="1"/>
      <w:numFmt w:val="bullet"/>
      <w:lvlText w:val="•"/>
      <w:lvlJc w:val="left"/>
      <w:pPr>
        <w:tabs>
          <w:tab w:val="num" w:pos="5760"/>
        </w:tabs>
        <w:ind w:left="5760" w:hanging="360"/>
      </w:pPr>
      <w:rPr>
        <w:rFonts w:ascii="Arial" w:hAnsi="Arial" w:hint="default"/>
      </w:rPr>
    </w:lvl>
    <w:lvl w:ilvl="8" w:tplc="ECC003B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C221800"/>
    <w:multiLevelType w:val="hybridMultilevel"/>
    <w:tmpl w:val="C4B00DDC"/>
    <w:lvl w:ilvl="0" w:tplc="176CD000">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03304FE"/>
    <w:multiLevelType w:val="hybridMultilevel"/>
    <w:tmpl w:val="8A5A442A"/>
    <w:lvl w:ilvl="0" w:tplc="58E0EF78">
      <w:start w:val="1"/>
      <w:numFmt w:val="bullet"/>
      <w:lvlText w:val="•"/>
      <w:lvlJc w:val="left"/>
      <w:pPr>
        <w:tabs>
          <w:tab w:val="num" w:pos="720"/>
        </w:tabs>
        <w:ind w:left="720" w:hanging="360"/>
      </w:pPr>
      <w:rPr>
        <w:rFonts w:ascii="Arial" w:hAnsi="Arial" w:hint="default"/>
      </w:rPr>
    </w:lvl>
    <w:lvl w:ilvl="1" w:tplc="5D92029C">
      <w:start w:val="1"/>
      <w:numFmt w:val="bullet"/>
      <w:lvlText w:val="•"/>
      <w:lvlJc w:val="left"/>
      <w:pPr>
        <w:tabs>
          <w:tab w:val="num" w:pos="1440"/>
        </w:tabs>
        <w:ind w:left="1440" w:hanging="360"/>
      </w:pPr>
      <w:rPr>
        <w:rFonts w:ascii="Arial" w:hAnsi="Arial" w:hint="default"/>
      </w:rPr>
    </w:lvl>
    <w:lvl w:ilvl="2" w:tplc="83CA4258" w:tentative="1">
      <w:start w:val="1"/>
      <w:numFmt w:val="bullet"/>
      <w:lvlText w:val="•"/>
      <w:lvlJc w:val="left"/>
      <w:pPr>
        <w:tabs>
          <w:tab w:val="num" w:pos="2160"/>
        </w:tabs>
        <w:ind w:left="2160" w:hanging="360"/>
      </w:pPr>
      <w:rPr>
        <w:rFonts w:ascii="Arial" w:hAnsi="Arial" w:hint="default"/>
      </w:rPr>
    </w:lvl>
    <w:lvl w:ilvl="3" w:tplc="92D6A3CC" w:tentative="1">
      <w:start w:val="1"/>
      <w:numFmt w:val="bullet"/>
      <w:lvlText w:val="•"/>
      <w:lvlJc w:val="left"/>
      <w:pPr>
        <w:tabs>
          <w:tab w:val="num" w:pos="2880"/>
        </w:tabs>
        <w:ind w:left="2880" w:hanging="360"/>
      </w:pPr>
      <w:rPr>
        <w:rFonts w:ascii="Arial" w:hAnsi="Arial" w:hint="default"/>
      </w:rPr>
    </w:lvl>
    <w:lvl w:ilvl="4" w:tplc="38E058FE" w:tentative="1">
      <w:start w:val="1"/>
      <w:numFmt w:val="bullet"/>
      <w:lvlText w:val="•"/>
      <w:lvlJc w:val="left"/>
      <w:pPr>
        <w:tabs>
          <w:tab w:val="num" w:pos="3600"/>
        </w:tabs>
        <w:ind w:left="3600" w:hanging="360"/>
      </w:pPr>
      <w:rPr>
        <w:rFonts w:ascii="Arial" w:hAnsi="Arial" w:hint="default"/>
      </w:rPr>
    </w:lvl>
    <w:lvl w:ilvl="5" w:tplc="8AE61B84" w:tentative="1">
      <w:start w:val="1"/>
      <w:numFmt w:val="bullet"/>
      <w:lvlText w:val="•"/>
      <w:lvlJc w:val="left"/>
      <w:pPr>
        <w:tabs>
          <w:tab w:val="num" w:pos="4320"/>
        </w:tabs>
        <w:ind w:left="4320" w:hanging="360"/>
      </w:pPr>
      <w:rPr>
        <w:rFonts w:ascii="Arial" w:hAnsi="Arial" w:hint="default"/>
      </w:rPr>
    </w:lvl>
    <w:lvl w:ilvl="6" w:tplc="0910053C" w:tentative="1">
      <w:start w:val="1"/>
      <w:numFmt w:val="bullet"/>
      <w:lvlText w:val="•"/>
      <w:lvlJc w:val="left"/>
      <w:pPr>
        <w:tabs>
          <w:tab w:val="num" w:pos="5040"/>
        </w:tabs>
        <w:ind w:left="5040" w:hanging="360"/>
      </w:pPr>
      <w:rPr>
        <w:rFonts w:ascii="Arial" w:hAnsi="Arial" w:hint="default"/>
      </w:rPr>
    </w:lvl>
    <w:lvl w:ilvl="7" w:tplc="12629888" w:tentative="1">
      <w:start w:val="1"/>
      <w:numFmt w:val="bullet"/>
      <w:lvlText w:val="•"/>
      <w:lvlJc w:val="left"/>
      <w:pPr>
        <w:tabs>
          <w:tab w:val="num" w:pos="5760"/>
        </w:tabs>
        <w:ind w:left="5760" w:hanging="360"/>
      </w:pPr>
      <w:rPr>
        <w:rFonts w:ascii="Arial" w:hAnsi="Arial" w:hint="default"/>
      </w:rPr>
    </w:lvl>
    <w:lvl w:ilvl="8" w:tplc="25EC44A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03C35BB"/>
    <w:multiLevelType w:val="hybridMultilevel"/>
    <w:tmpl w:val="FC8A072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35E50B2"/>
    <w:multiLevelType w:val="multilevel"/>
    <w:tmpl w:val="2746295C"/>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lowerLetter"/>
      <w:lvlText w:val="%3."/>
      <w:lvlJc w:val="left"/>
      <w:pPr>
        <w:tabs>
          <w:tab w:val="num" w:pos="1200"/>
        </w:tabs>
        <w:ind w:left="120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6" w15:restartNumberingAfterBreak="0">
    <w:nsid w:val="3CA30031"/>
    <w:multiLevelType w:val="hybridMultilevel"/>
    <w:tmpl w:val="EAECE69E"/>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F6C5291"/>
    <w:multiLevelType w:val="hybridMultilevel"/>
    <w:tmpl w:val="A11656B8"/>
    <w:lvl w:ilvl="0" w:tplc="3722A0EE">
      <w:start w:val="1"/>
      <w:numFmt w:val="bullet"/>
      <w:lvlText w:val="•"/>
      <w:lvlJc w:val="left"/>
      <w:pPr>
        <w:tabs>
          <w:tab w:val="num" w:pos="720"/>
        </w:tabs>
        <w:ind w:left="720" w:hanging="360"/>
      </w:pPr>
      <w:rPr>
        <w:rFonts w:ascii="Arial" w:hAnsi="Arial" w:hint="default"/>
      </w:rPr>
    </w:lvl>
    <w:lvl w:ilvl="1" w:tplc="5D12E65C">
      <w:start w:val="12705"/>
      <w:numFmt w:val="bullet"/>
      <w:lvlText w:val="•"/>
      <w:lvlJc w:val="left"/>
      <w:pPr>
        <w:tabs>
          <w:tab w:val="num" w:pos="1440"/>
        </w:tabs>
        <w:ind w:left="1440" w:hanging="360"/>
      </w:pPr>
      <w:rPr>
        <w:rFonts w:ascii="Arial" w:hAnsi="Arial" w:hint="default"/>
      </w:rPr>
    </w:lvl>
    <w:lvl w:ilvl="2" w:tplc="E6FE4448" w:tentative="1">
      <w:start w:val="1"/>
      <w:numFmt w:val="bullet"/>
      <w:lvlText w:val="•"/>
      <w:lvlJc w:val="left"/>
      <w:pPr>
        <w:tabs>
          <w:tab w:val="num" w:pos="2160"/>
        </w:tabs>
        <w:ind w:left="2160" w:hanging="360"/>
      </w:pPr>
      <w:rPr>
        <w:rFonts w:ascii="Arial" w:hAnsi="Arial" w:hint="default"/>
      </w:rPr>
    </w:lvl>
    <w:lvl w:ilvl="3" w:tplc="00C6F40C" w:tentative="1">
      <w:start w:val="1"/>
      <w:numFmt w:val="bullet"/>
      <w:lvlText w:val="•"/>
      <w:lvlJc w:val="left"/>
      <w:pPr>
        <w:tabs>
          <w:tab w:val="num" w:pos="2880"/>
        </w:tabs>
        <w:ind w:left="2880" w:hanging="360"/>
      </w:pPr>
      <w:rPr>
        <w:rFonts w:ascii="Arial" w:hAnsi="Arial" w:hint="default"/>
      </w:rPr>
    </w:lvl>
    <w:lvl w:ilvl="4" w:tplc="31447E3A" w:tentative="1">
      <w:start w:val="1"/>
      <w:numFmt w:val="bullet"/>
      <w:lvlText w:val="•"/>
      <w:lvlJc w:val="left"/>
      <w:pPr>
        <w:tabs>
          <w:tab w:val="num" w:pos="3600"/>
        </w:tabs>
        <w:ind w:left="3600" w:hanging="360"/>
      </w:pPr>
      <w:rPr>
        <w:rFonts w:ascii="Arial" w:hAnsi="Arial" w:hint="default"/>
      </w:rPr>
    </w:lvl>
    <w:lvl w:ilvl="5" w:tplc="F8D6C5D2" w:tentative="1">
      <w:start w:val="1"/>
      <w:numFmt w:val="bullet"/>
      <w:lvlText w:val="•"/>
      <w:lvlJc w:val="left"/>
      <w:pPr>
        <w:tabs>
          <w:tab w:val="num" w:pos="4320"/>
        </w:tabs>
        <w:ind w:left="4320" w:hanging="360"/>
      </w:pPr>
      <w:rPr>
        <w:rFonts w:ascii="Arial" w:hAnsi="Arial" w:hint="default"/>
      </w:rPr>
    </w:lvl>
    <w:lvl w:ilvl="6" w:tplc="86ACD80E" w:tentative="1">
      <w:start w:val="1"/>
      <w:numFmt w:val="bullet"/>
      <w:lvlText w:val="•"/>
      <w:lvlJc w:val="left"/>
      <w:pPr>
        <w:tabs>
          <w:tab w:val="num" w:pos="5040"/>
        </w:tabs>
        <w:ind w:left="5040" w:hanging="360"/>
      </w:pPr>
      <w:rPr>
        <w:rFonts w:ascii="Arial" w:hAnsi="Arial" w:hint="default"/>
      </w:rPr>
    </w:lvl>
    <w:lvl w:ilvl="7" w:tplc="1C3ED56A" w:tentative="1">
      <w:start w:val="1"/>
      <w:numFmt w:val="bullet"/>
      <w:lvlText w:val="•"/>
      <w:lvlJc w:val="left"/>
      <w:pPr>
        <w:tabs>
          <w:tab w:val="num" w:pos="5760"/>
        </w:tabs>
        <w:ind w:left="5760" w:hanging="360"/>
      </w:pPr>
      <w:rPr>
        <w:rFonts w:ascii="Arial" w:hAnsi="Arial" w:hint="default"/>
      </w:rPr>
    </w:lvl>
    <w:lvl w:ilvl="8" w:tplc="C8F860E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21F6A81"/>
    <w:multiLevelType w:val="multilevel"/>
    <w:tmpl w:val="5696451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lowerLetter"/>
      <w:lvlText w:val="%3."/>
      <w:lvlJc w:val="left"/>
      <w:pPr>
        <w:tabs>
          <w:tab w:val="num" w:pos="1200"/>
        </w:tabs>
        <w:ind w:left="120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9" w15:restartNumberingAfterBreak="0">
    <w:nsid w:val="4F496F34"/>
    <w:multiLevelType w:val="hybridMultilevel"/>
    <w:tmpl w:val="B984AE8A"/>
    <w:lvl w:ilvl="0" w:tplc="6B7846A8">
      <w:start w:val="1"/>
      <w:numFmt w:val="bullet"/>
      <w:lvlText w:val="•"/>
      <w:lvlJc w:val="left"/>
      <w:pPr>
        <w:tabs>
          <w:tab w:val="num" w:pos="720"/>
        </w:tabs>
        <w:ind w:left="720" w:hanging="360"/>
      </w:pPr>
      <w:rPr>
        <w:rFonts w:ascii="Arial" w:hAnsi="Arial" w:hint="default"/>
      </w:rPr>
    </w:lvl>
    <w:lvl w:ilvl="1" w:tplc="2768417A">
      <w:start w:val="1"/>
      <w:numFmt w:val="bullet"/>
      <w:lvlText w:val="•"/>
      <w:lvlJc w:val="left"/>
      <w:pPr>
        <w:tabs>
          <w:tab w:val="num" w:pos="1440"/>
        </w:tabs>
        <w:ind w:left="1440" w:hanging="360"/>
      </w:pPr>
      <w:rPr>
        <w:rFonts w:ascii="Arial" w:hAnsi="Arial" w:hint="default"/>
      </w:rPr>
    </w:lvl>
    <w:lvl w:ilvl="2" w:tplc="7324C8B0" w:tentative="1">
      <w:start w:val="1"/>
      <w:numFmt w:val="bullet"/>
      <w:lvlText w:val="•"/>
      <w:lvlJc w:val="left"/>
      <w:pPr>
        <w:tabs>
          <w:tab w:val="num" w:pos="2160"/>
        </w:tabs>
        <w:ind w:left="2160" w:hanging="360"/>
      </w:pPr>
      <w:rPr>
        <w:rFonts w:ascii="Arial" w:hAnsi="Arial" w:hint="default"/>
      </w:rPr>
    </w:lvl>
    <w:lvl w:ilvl="3" w:tplc="8768446A" w:tentative="1">
      <w:start w:val="1"/>
      <w:numFmt w:val="bullet"/>
      <w:lvlText w:val="•"/>
      <w:lvlJc w:val="left"/>
      <w:pPr>
        <w:tabs>
          <w:tab w:val="num" w:pos="2880"/>
        </w:tabs>
        <w:ind w:left="2880" w:hanging="360"/>
      </w:pPr>
      <w:rPr>
        <w:rFonts w:ascii="Arial" w:hAnsi="Arial" w:hint="default"/>
      </w:rPr>
    </w:lvl>
    <w:lvl w:ilvl="4" w:tplc="28CEF020" w:tentative="1">
      <w:start w:val="1"/>
      <w:numFmt w:val="bullet"/>
      <w:lvlText w:val="•"/>
      <w:lvlJc w:val="left"/>
      <w:pPr>
        <w:tabs>
          <w:tab w:val="num" w:pos="3600"/>
        </w:tabs>
        <w:ind w:left="3600" w:hanging="360"/>
      </w:pPr>
      <w:rPr>
        <w:rFonts w:ascii="Arial" w:hAnsi="Arial" w:hint="default"/>
      </w:rPr>
    </w:lvl>
    <w:lvl w:ilvl="5" w:tplc="C32640D0" w:tentative="1">
      <w:start w:val="1"/>
      <w:numFmt w:val="bullet"/>
      <w:lvlText w:val="•"/>
      <w:lvlJc w:val="left"/>
      <w:pPr>
        <w:tabs>
          <w:tab w:val="num" w:pos="4320"/>
        </w:tabs>
        <w:ind w:left="4320" w:hanging="360"/>
      </w:pPr>
      <w:rPr>
        <w:rFonts w:ascii="Arial" w:hAnsi="Arial" w:hint="default"/>
      </w:rPr>
    </w:lvl>
    <w:lvl w:ilvl="6" w:tplc="BF7A5B8E" w:tentative="1">
      <w:start w:val="1"/>
      <w:numFmt w:val="bullet"/>
      <w:lvlText w:val="•"/>
      <w:lvlJc w:val="left"/>
      <w:pPr>
        <w:tabs>
          <w:tab w:val="num" w:pos="5040"/>
        </w:tabs>
        <w:ind w:left="5040" w:hanging="360"/>
      </w:pPr>
      <w:rPr>
        <w:rFonts w:ascii="Arial" w:hAnsi="Arial" w:hint="default"/>
      </w:rPr>
    </w:lvl>
    <w:lvl w:ilvl="7" w:tplc="BA1EAF06" w:tentative="1">
      <w:start w:val="1"/>
      <w:numFmt w:val="bullet"/>
      <w:lvlText w:val="•"/>
      <w:lvlJc w:val="left"/>
      <w:pPr>
        <w:tabs>
          <w:tab w:val="num" w:pos="5760"/>
        </w:tabs>
        <w:ind w:left="5760" w:hanging="360"/>
      </w:pPr>
      <w:rPr>
        <w:rFonts w:ascii="Arial" w:hAnsi="Arial" w:hint="default"/>
      </w:rPr>
    </w:lvl>
    <w:lvl w:ilvl="8" w:tplc="21341E6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1102451"/>
    <w:multiLevelType w:val="hybridMultilevel"/>
    <w:tmpl w:val="EB523782"/>
    <w:lvl w:ilvl="0" w:tplc="E25EE752">
      <w:start w:val="1"/>
      <w:numFmt w:val="bullet"/>
      <w:lvlText w:val="•"/>
      <w:lvlJc w:val="left"/>
      <w:pPr>
        <w:tabs>
          <w:tab w:val="num" w:pos="720"/>
        </w:tabs>
        <w:ind w:left="720" w:hanging="360"/>
      </w:pPr>
      <w:rPr>
        <w:rFonts w:ascii="Arial" w:hAnsi="Arial" w:hint="default"/>
      </w:rPr>
    </w:lvl>
    <w:lvl w:ilvl="1" w:tplc="F11C7F58">
      <w:start w:val="1"/>
      <w:numFmt w:val="bullet"/>
      <w:lvlText w:val="•"/>
      <w:lvlJc w:val="left"/>
      <w:pPr>
        <w:tabs>
          <w:tab w:val="num" w:pos="1440"/>
        </w:tabs>
        <w:ind w:left="1440" w:hanging="360"/>
      </w:pPr>
      <w:rPr>
        <w:rFonts w:ascii="Arial" w:hAnsi="Arial" w:hint="default"/>
      </w:rPr>
    </w:lvl>
    <w:lvl w:ilvl="2" w:tplc="F50C837C" w:tentative="1">
      <w:start w:val="1"/>
      <w:numFmt w:val="bullet"/>
      <w:lvlText w:val="•"/>
      <w:lvlJc w:val="left"/>
      <w:pPr>
        <w:tabs>
          <w:tab w:val="num" w:pos="2160"/>
        </w:tabs>
        <w:ind w:left="2160" w:hanging="360"/>
      </w:pPr>
      <w:rPr>
        <w:rFonts w:ascii="Arial" w:hAnsi="Arial" w:hint="default"/>
      </w:rPr>
    </w:lvl>
    <w:lvl w:ilvl="3" w:tplc="C228308A" w:tentative="1">
      <w:start w:val="1"/>
      <w:numFmt w:val="bullet"/>
      <w:lvlText w:val="•"/>
      <w:lvlJc w:val="left"/>
      <w:pPr>
        <w:tabs>
          <w:tab w:val="num" w:pos="2880"/>
        </w:tabs>
        <w:ind w:left="2880" w:hanging="360"/>
      </w:pPr>
      <w:rPr>
        <w:rFonts w:ascii="Arial" w:hAnsi="Arial" w:hint="default"/>
      </w:rPr>
    </w:lvl>
    <w:lvl w:ilvl="4" w:tplc="9BE4EB70" w:tentative="1">
      <w:start w:val="1"/>
      <w:numFmt w:val="bullet"/>
      <w:lvlText w:val="•"/>
      <w:lvlJc w:val="left"/>
      <w:pPr>
        <w:tabs>
          <w:tab w:val="num" w:pos="3600"/>
        </w:tabs>
        <w:ind w:left="3600" w:hanging="360"/>
      </w:pPr>
      <w:rPr>
        <w:rFonts w:ascii="Arial" w:hAnsi="Arial" w:hint="default"/>
      </w:rPr>
    </w:lvl>
    <w:lvl w:ilvl="5" w:tplc="B978B4E0" w:tentative="1">
      <w:start w:val="1"/>
      <w:numFmt w:val="bullet"/>
      <w:lvlText w:val="•"/>
      <w:lvlJc w:val="left"/>
      <w:pPr>
        <w:tabs>
          <w:tab w:val="num" w:pos="4320"/>
        </w:tabs>
        <w:ind w:left="4320" w:hanging="360"/>
      </w:pPr>
      <w:rPr>
        <w:rFonts w:ascii="Arial" w:hAnsi="Arial" w:hint="default"/>
      </w:rPr>
    </w:lvl>
    <w:lvl w:ilvl="6" w:tplc="68CCEC20" w:tentative="1">
      <w:start w:val="1"/>
      <w:numFmt w:val="bullet"/>
      <w:lvlText w:val="•"/>
      <w:lvlJc w:val="left"/>
      <w:pPr>
        <w:tabs>
          <w:tab w:val="num" w:pos="5040"/>
        </w:tabs>
        <w:ind w:left="5040" w:hanging="360"/>
      </w:pPr>
      <w:rPr>
        <w:rFonts w:ascii="Arial" w:hAnsi="Arial" w:hint="default"/>
      </w:rPr>
    </w:lvl>
    <w:lvl w:ilvl="7" w:tplc="4A563DB0" w:tentative="1">
      <w:start w:val="1"/>
      <w:numFmt w:val="bullet"/>
      <w:lvlText w:val="•"/>
      <w:lvlJc w:val="left"/>
      <w:pPr>
        <w:tabs>
          <w:tab w:val="num" w:pos="5760"/>
        </w:tabs>
        <w:ind w:left="5760" w:hanging="360"/>
      </w:pPr>
      <w:rPr>
        <w:rFonts w:ascii="Arial" w:hAnsi="Arial" w:hint="default"/>
      </w:rPr>
    </w:lvl>
    <w:lvl w:ilvl="8" w:tplc="0E308B5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24E4EC2"/>
    <w:multiLevelType w:val="hybridMultilevel"/>
    <w:tmpl w:val="3A88C72A"/>
    <w:lvl w:ilvl="0" w:tplc="21B687C2">
      <w:start w:val="1"/>
      <w:numFmt w:val="bullet"/>
      <w:lvlText w:val="•"/>
      <w:lvlJc w:val="left"/>
      <w:pPr>
        <w:tabs>
          <w:tab w:val="num" w:pos="720"/>
        </w:tabs>
        <w:ind w:left="720" w:hanging="360"/>
      </w:pPr>
      <w:rPr>
        <w:rFonts w:ascii="Arial" w:hAnsi="Arial" w:hint="default"/>
      </w:rPr>
    </w:lvl>
    <w:lvl w:ilvl="1" w:tplc="B64C262A">
      <w:start w:val="1"/>
      <w:numFmt w:val="bullet"/>
      <w:lvlText w:val="•"/>
      <w:lvlJc w:val="left"/>
      <w:pPr>
        <w:tabs>
          <w:tab w:val="num" w:pos="1440"/>
        </w:tabs>
        <w:ind w:left="1440" w:hanging="360"/>
      </w:pPr>
      <w:rPr>
        <w:rFonts w:ascii="Arial" w:hAnsi="Arial" w:hint="default"/>
      </w:rPr>
    </w:lvl>
    <w:lvl w:ilvl="2" w:tplc="8528DE4C" w:tentative="1">
      <w:start w:val="1"/>
      <w:numFmt w:val="bullet"/>
      <w:lvlText w:val="•"/>
      <w:lvlJc w:val="left"/>
      <w:pPr>
        <w:tabs>
          <w:tab w:val="num" w:pos="2160"/>
        </w:tabs>
        <w:ind w:left="2160" w:hanging="360"/>
      </w:pPr>
      <w:rPr>
        <w:rFonts w:ascii="Arial" w:hAnsi="Arial" w:hint="default"/>
      </w:rPr>
    </w:lvl>
    <w:lvl w:ilvl="3" w:tplc="AC3887AC" w:tentative="1">
      <w:start w:val="1"/>
      <w:numFmt w:val="bullet"/>
      <w:lvlText w:val="•"/>
      <w:lvlJc w:val="left"/>
      <w:pPr>
        <w:tabs>
          <w:tab w:val="num" w:pos="2880"/>
        </w:tabs>
        <w:ind w:left="2880" w:hanging="360"/>
      </w:pPr>
      <w:rPr>
        <w:rFonts w:ascii="Arial" w:hAnsi="Arial" w:hint="default"/>
      </w:rPr>
    </w:lvl>
    <w:lvl w:ilvl="4" w:tplc="78220B58" w:tentative="1">
      <w:start w:val="1"/>
      <w:numFmt w:val="bullet"/>
      <w:lvlText w:val="•"/>
      <w:lvlJc w:val="left"/>
      <w:pPr>
        <w:tabs>
          <w:tab w:val="num" w:pos="3600"/>
        </w:tabs>
        <w:ind w:left="3600" w:hanging="360"/>
      </w:pPr>
      <w:rPr>
        <w:rFonts w:ascii="Arial" w:hAnsi="Arial" w:hint="default"/>
      </w:rPr>
    </w:lvl>
    <w:lvl w:ilvl="5" w:tplc="AF70CE64" w:tentative="1">
      <w:start w:val="1"/>
      <w:numFmt w:val="bullet"/>
      <w:lvlText w:val="•"/>
      <w:lvlJc w:val="left"/>
      <w:pPr>
        <w:tabs>
          <w:tab w:val="num" w:pos="4320"/>
        </w:tabs>
        <w:ind w:left="4320" w:hanging="360"/>
      </w:pPr>
      <w:rPr>
        <w:rFonts w:ascii="Arial" w:hAnsi="Arial" w:hint="default"/>
      </w:rPr>
    </w:lvl>
    <w:lvl w:ilvl="6" w:tplc="5EBE184A" w:tentative="1">
      <w:start w:val="1"/>
      <w:numFmt w:val="bullet"/>
      <w:lvlText w:val="•"/>
      <w:lvlJc w:val="left"/>
      <w:pPr>
        <w:tabs>
          <w:tab w:val="num" w:pos="5040"/>
        </w:tabs>
        <w:ind w:left="5040" w:hanging="360"/>
      </w:pPr>
      <w:rPr>
        <w:rFonts w:ascii="Arial" w:hAnsi="Arial" w:hint="default"/>
      </w:rPr>
    </w:lvl>
    <w:lvl w:ilvl="7" w:tplc="3934E0AC" w:tentative="1">
      <w:start w:val="1"/>
      <w:numFmt w:val="bullet"/>
      <w:lvlText w:val="•"/>
      <w:lvlJc w:val="left"/>
      <w:pPr>
        <w:tabs>
          <w:tab w:val="num" w:pos="5760"/>
        </w:tabs>
        <w:ind w:left="5760" w:hanging="360"/>
      </w:pPr>
      <w:rPr>
        <w:rFonts w:ascii="Arial" w:hAnsi="Arial" w:hint="default"/>
      </w:rPr>
    </w:lvl>
    <w:lvl w:ilvl="8" w:tplc="BA8E8D3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8B32397"/>
    <w:multiLevelType w:val="multilevel"/>
    <w:tmpl w:val="FBBE4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4" w15:restartNumberingAfterBreak="0">
    <w:nsid w:val="59BF3684"/>
    <w:multiLevelType w:val="hybridMultilevel"/>
    <w:tmpl w:val="A522A724"/>
    <w:lvl w:ilvl="0" w:tplc="4F5CF73E">
      <w:start w:val="1"/>
      <w:numFmt w:val="bullet"/>
      <w:lvlText w:val="•"/>
      <w:lvlJc w:val="left"/>
      <w:pPr>
        <w:ind w:left="1271" w:hanging="420"/>
      </w:pPr>
      <w:rPr>
        <w:rFonts w:ascii="Arial" w:hAnsi="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5" w15:restartNumberingAfterBreak="0">
    <w:nsid w:val="5B6568FB"/>
    <w:multiLevelType w:val="hybridMultilevel"/>
    <w:tmpl w:val="3196D72A"/>
    <w:lvl w:ilvl="0" w:tplc="C18CA21A">
      <w:start w:val="2"/>
      <w:numFmt w:val="bullet"/>
      <w:lvlText w:val="-"/>
      <w:lvlJc w:val="left"/>
      <w:pPr>
        <w:ind w:left="560" w:hanging="360"/>
      </w:pPr>
      <w:rPr>
        <w:rFonts w:ascii="Times New Roman" w:eastAsia="宋体"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26" w15:restartNumberingAfterBreak="0">
    <w:nsid w:val="5E04092E"/>
    <w:multiLevelType w:val="hybridMultilevel"/>
    <w:tmpl w:val="9E8A8B36"/>
    <w:lvl w:ilvl="0" w:tplc="176CD000">
      <w:start w:val="1"/>
      <w:numFmt w:val="bullet"/>
      <w:lvlText w:val="•"/>
      <w:lvlJc w:val="left"/>
      <w:pPr>
        <w:tabs>
          <w:tab w:val="num" w:pos="720"/>
        </w:tabs>
        <w:ind w:left="720" w:hanging="360"/>
      </w:pPr>
      <w:rPr>
        <w:rFonts w:ascii="Arial" w:hAnsi="Arial" w:hint="default"/>
      </w:rPr>
    </w:lvl>
    <w:lvl w:ilvl="1" w:tplc="4FAAB150">
      <w:start w:val="1"/>
      <w:numFmt w:val="bullet"/>
      <w:lvlText w:val="•"/>
      <w:lvlJc w:val="left"/>
      <w:pPr>
        <w:tabs>
          <w:tab w:val="num" w:pos="1440"/>
        </w:tabs>
        <w:ind w:left="1440" w:hanging="360"/>
      </w:pPr>
      <w:rPr>
        <w:rFonts w:ascii="Arial" w:hAnsi="Arial" w:hint="default"/>
      </w:rPr>
    </w:lvl>
    <w:lvl w:ilvl="2" w:tplc="BB6A8ACA">
      <w:start w:val="14604"/>
      <w:numFmt w:val="bullet"/>
      <w:lvlText w:val="•"/>
      <w:lvlJc w:val="left"/>
      <w:pPr>
        <w:tabs>
          <w:tab w:val="num" w:pos="2160"/>
        </w:tabs>
        <w:ind w:left="2160" w:hanging="360"/>
      </w:pPr>
      <w:rPr>
        <w:rFonts w:ascii="Arial" w:hAnsi="Arial" w:hint="default"/>
      </w:rPr>
    </w:lvl>
    <w:lvl w:ilvl="3" w:tplc="D4349092">
      <w:start w:val="14604"/>
      <w:numFmt w:val="bullet"/>
      <w:lvlText w:val="•"/>
      <w:lvlJc w:val="left"/>
      <w:pPr>
        <w:tabs>
          <w:tab w:val="num" w:pos="2880"/>
        </w:tabs>
        <w:ind w:left="2880" w:hanging="360"/>
      </w:pPr>
      <w:rPr>
        <w:rFonts w:ascii="Arial" w:hAnsi="Arial" w:hint="default"/>
      </w:rPr>
    </w:lvl>
    <w:lvl w:ilvl="4" w:tplc="CED66C4E">
      <w:start w:val="1"/>
      <w:numFmt w:val="bullet"/>
      <w:lvlText w:val="•"/>
      <w:lvlJc w:val="left"/>
      <w:pPr>
        <w:tabs>
          <w:tab w:val="num" w:pos="3600"/>
        </w:tabs>
        <w:ind w:left="3600" w:hanging="360"/>
      </w:pPr>
      <w:rPr>
        <w:rFonts w:ascii="Arial" w:hAnsi="Arial" w:hint="default"/>
      </w:rPr>
    </w:lvl>
    <w:lvl w:ilvl="5" w:tplc="7F686012" w:tentative="1">
      <w:start w:val="1"/>
      <w:numFmt w:val="bullet"/>
      <w:lvlText w:val="•"/>
      <w:lvlJc w:val="left"/>
      <w:pPr>
        <w:tabs>
          <w:tab w:val="num" w:pos="4320"/>
        </w:tabs>
        <w:ind w:left="4320" w:hanging="360"/>
      </w:pPr>
      <w:rPr>
        <w:rFonts w:ascii="Arial" w:hAnsi="Arial" w:hint="default"/>
      </w:rPr>
    </w:lvl>
    <w:lvl w:ilvl="6" w:tplc="133C4822" w:tentative="1">
      <w:start w:val="1"/>
      <w:numFmt w:val="bullet"/>
      <w:lvlText w:val="•"/>
      <w:lvlJc w:val="left"/>
      <w:pPr>
        <w:tabs>
          <w:tab w:val="num" w:pos="5040"/>
        </w:tabs>
        <w:ind w:left="5040" w:hanging="360"/>
      </w:pPr>
      <w:rPr>
        <w:rFonts w:ascii="Arial" w:hAnsi="Arial" w:hint="default"/>
      </w:rPr>
    </w:lvl>
    <w:lvl w:ilvl="7" w:tplc="B3347032" w:tentative="1">
      <w:start w:val="1"/>
      <w:numFmt w:val="bullet"/>
      <w:lvlText w:val="•"/>
      <w:lvlJc w:val="left"/>
      <w:pPr>
        <w:tabs>
          <w:tab w:val="num" w:pos="5760"/>
        </w:tabs>
        <w:ind w:left="5760" w:hanging="360"/>
      </w:pPr>
      <w:rPr>
        <w:rFonts w:ascii="Arial" w:hAnsi="Arial" w:hint="default"/>
      </w:rPr>
    </w:lvl>
    <w:lvl w:ilvl="8" w:tplc="985CA9D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8C6465A"/>
    <w:multiLevelType w:val="hybridMultilevel"/>
    <w:tmpl w:val="592EBD08"/>
    <w:lvl w:ilvl="0" w:tplc="518E0348">
      <w:start w:val="1"/>
      <w:numFmt w:val="bullet"/>
      <w:lvlText w:val="o"/>
      <w:lvlJc w:val="left"/>
      <w:pPr>
        <w:tabs>
          <w:tab w:val="num" w:pos="720"/>
        </w:tabs>
        <w:ind w:left="720" w:hanging="360"/>
      </w:pPr>
      <w:rPr>
        <w:rFonts w:ascii="Courier New" w:hAnsi="Courier New" w:hint="default"/>
      </w:rPr>
    </w:lvl>
    <w:lvl w:ilvl="1" w:tplc="55AE4906">
      <w:start w:val="10476"/>
      <w:numFmt w:val="bullet"/>
      <w:lvlText w:val="•"/>
      <w:lvlJc w:val="left"/>
      <w:pPr>
        <w:tabs>
          <w:tab w:val="num" w:pos="1440"/>
        </w:tabs>
        <w:ind w:left="1440" w:hanging="360"/>
      </w:pPr>
      <w:rPr>
        <w:rFonts w:ascii="Arial" w:hAnsi="Arial" w:hint="default"/>
      </w:rPr>
    </w:lvl>
    <w:lvl w:ilvl="2" w:tplc="EBA499A2">
      <w:start w:val="10476"/>
      <w:numFmt w:val="bullet"/>
      <w:lvlText w:val=""/>
      <w:lvlJc w:val="left"/>
      <w:pPr>
        <w:tabs>
          <w:tab w:val="num" w:pos="2160"/>
        </w:tabs>
        <w:ind w:left="2160" w:hanging="360"/>
      </w:pPr>
      <w:rPr>
        <w:rFonts w:ascii="Wingdings" w:hAnsi="Wingdings" w:hint="default"/>
      </w:rPr>
    </w:lvl>
    <w:lvl w:ilvl="3" w:tplc="5400FD2E" w:tentative="1">
      <w:start w:val="1"/>
      <w:numFmt w:val="bullet"/>
      <w:lvlText w:val="o"/>
      <w:lvlJc w:val="left"/>
      <w:pPr>
        <w:tabs>
          <w:tab w:val="num" w:pos="2880"/>
        </w:tabs>
        <w:ind w:left="2880" w:hanging="360"/>
      </w:pPr>
      <w:rPr>
        <w:rFonts w:ascii="Courier New" w:hAnsi="Courier New" w:hint="default"/>
      </w:rPr>
    </w:lvl>
    <w:lvl w:ilvl="4" w:tplc="538ECEBC" w:tentative="1">
      <w:start w:val="1"/>
      <w:numFmt w:val="bullet"/>
      <w:lvlText w:val="o"/>
      <w:lvlJc w:val="left"/>
      <w:pPr>
        <w:tabs>
          <w:tab w:val="num" w:pos="3600"/>
        </w:tabs>
        <w:ind w:left="3600" w:hanging="360"/>
      </w:pPr>
      <w:rPr>
        <w:rFonts w:ascii="Courier New" w:hAnsi="Courier New" w:hint="default"/>
      </w:rPr>
    </w:lvl>
    <w:lvl w:ilvl="5" w:tplc="B9823EAC" w:tentative="1">
      <w:start w:val="1"/>
      <w:numFmt w:val="bullet"/>
      <w:lvlText w:val="o"/>
      <w:lvlJc w:val="left"/>
      <w:pPr>
        <w:tabs>
          <w:tab w:val="num" w:pos="4320"/>
        </w:tabs>
        <w:ind w:left="4320" w:hanging="360"/>
      </w:pPr>
      <w:rPr>
        <w:rFonts w:ascii="Courier New" w:hAnsi="Courier New" w:hint="default"/>
      </w:rPr>
    </w:lvl>
    <w:lvl w:ilvl="6" w:tplc="DEC84696" w:tentative="1">
      <w:start w:val="1"/>
      <w:numFmt w:val="bullet"/>
      <w:lvlText w:val="o"/>
      <w:lvlJc w:val="left"/>
      <w:pPr>
        <w:tabs>
          <w:tab w:val="num" w:pos="5040"/>
        </w:tabs>
        <w:ind w:left="5040" w:hanging="360"/>
      </w:pPr>
      <w:rPr>
        <w:rFonts w:ascii="Courier New" w:hAnsi="Courier New" w:hint="default"/>
      </w:rPr>
    </w:lvl>
    <w:lvl w:ilvl="7" w:tplc="54CA43EE" w:tentative="1">
      <w:start w:val="1"/>
      <w:numFmt w:val="bullet"/>
      <w:lvlText w:val="o"/>
      <w:lvlJc w:val="left"/>
      <w:pPr>
        <w:tabs>
          <w:tab w:val="num" w:pos="5760"/>
        </w:tabs>
        <w:ind w:left="5760" w:hanging="360"/>
      </w:pPr>
      <w:rPr>
        <w:rFonts w:ascii="Courier New" w:hAnsi="Courier New" w:hint="default"/>
      </w:rPr>
    </w:lvl>
    <w:lvl w:ilvl="8" w:tplc="651AF450" w:tentative="1">
      <w:start w:val="1"/>
      <w:numFmt w:val="bullet"/>
      <w:lvlText w:val="o"/>
      <w:lvlJc w:val="left"/>
      <w:pPr>
        <w:tabs>
          <w:tab w:val="num" w:pos="6480"/>
        </w:tabs>
        <w:ind w:left="6480" w:hanging="360"/>
      </w:pPr>
      <w:rPr>
        <w:rFonts w:ascii="Courier New" w:hAnsi="Courier New" w:hint="default"/>
      </w:rPr>
    </w:lvl>
  </w:abstractNum>
  <w:abstractNum w:abstractNumId="29"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62F311A"/>
    <w:multiLevelType w:val="hybridMultilevel"/>
    <w:tmpl w:val="E3FE4284"/>
    <w:lvl w:ilvl="0" w:tplc="3E70E422">
      <w:start w:val="1"/>
      <w:numFmt w:val="bullet"/>
      <w:lvlText w:val="●"/>
      <w:lvlJc w:val="left"/>
      <w:pPr>
        <w:tabs>
          <w:tab w:val="num" w:pos="720"/>
        </w:tabs>
        <w:ind w:left="720" w:hanging="360"/>
      </w:pPr>
      <w:rPr>
        <w:rFonts w:ascii="Calibri" w:hAnsi="Calibri" w:hint="default"/>
      </w:rPr>
    </w:lvl>
    <w:lvl w:ilvl="1" w:tplc="93B2A17C">
      <w:start w:val="1"/>
      <w:numFmt w:val="bullet"/>
      <w:lvlText w:val="●"/>
      <w:lvlJc w:val="left"/>
      <w:pPr>
        <w:tabs>
          <w:tab w:val="num" w:pos="1440"/>
        </w:tabs>
        <w:ind w:left="1440" w:hanging="360"/>
      </w:pPr>
      <w:rPr>
        <w:rFonts w:ascii="Calibri" w:hAnsi="Calibri" w:hint="default"/>
      </w:rPr>
    </w:lvl>
    <w:lvl w:ilvl="2" w:tplc="C1F2EF0A">
      <w:numFmt w:val="bullet"/>
      <w:lvlText w:val="－"/>
      <w:lvlJc w:val="left"/>
      <w:pPr>
        <w:tabs>
          <w:tab w:val="num" w:pos="2160"/>
        </w:tabs>
        <w:ind w:left="2160" w:hanging="360"/>
      </w:pPr>
      <w:rPr>
        <w:rFonts w:ascii="宋体" w:hAnsi="宋体" w:hint="default"/>
      </w:rPr>
    </w:lvl>
    <w:lvl w:ilvl="3" w:tplc="0E46E20A">
      <w:numFmt w:val="bullet"/>
      <w:lvlText w:val="–"/>
      <w:lvlJc w:val="left"/>
      <w:pPr>
        <w:tabs>
          <w:tab w:val="num" w:pos="2880"/>
        </w:tabs>
        <w:ind w:left="2880" w:hanging="360"/>
      </w:pPr>
      <w:rPr>
        <w:rFonts w:ascii="宋体" w:hAnsi="宋体" w:hint="default"/>
      </w:rPr>
    </w:lvl>
    <w:lvl w:ilvl="4" w:tplc="55EA801A" w:tentative="1">
      <w:start w:val="1"/>
      <w:numFmt w:val="bullet"/>
      <w:lvlText w:val="●"/>
      <w:lvlJc w:val="left"/>
      <w:pPr>
        <w:tabs>
          <w:tab w:val="num" w:pos="3600"/>
        </w:tabs>
        <w:ind w:left="3600" w:hanging="360"/>
      </w:pPr>
      <w:rPr>
        <w:rFonts w:ascii="Calibri" w:hAnsi="Calibri" w:hint="default"/>
      </w:rPr>
    </w:lvl>
    <w:lvl w:ilvl="5" w:tplc="FE7677DE" w:tentative="1">
      <w:start w:val="1"/>
      <w:numFmt w:val="bullet"/>
      <w:lvlText w:val="●"/>
      <w:lvlJc w:val="left"/>
      <w:pPr>
        <w:tabs>
          <w:tab w:val="num" w:pos="4320"/>
        </w:tabs>
        <w:ind w:left="4320" w:hanging="360"/>
      </w:pPr>
      <w:rPr>
        <w:rFonts w:ascii="Calibri" w:hAnsi="Calibri" w:hint="default"/>
      </w:rPr>
    </w:lvl>
    <w:lvl w:ilvl="6" w:tplc="105E5DAA" w:tentative="1">
      <w:start w:val="1"/>
      <w:numFmt w:val="bullet"/>
      <w:lvlText w:val="●"/>
      <w:lvlJc w:val="left"/>
      <w:pPr>
        <w:tabs>
          <w:tab w:val="num" w:pos="5040"/>
        </w:tabs>
        <w:ind w:left="5040" w:hanging="360"/>
      </w:pPr>
      <w:rPr>
        <w:rFonts w:ascii="Calibri" w:hAnsi="Calibri" w:hint="default"/>
      </w:rPr>
    </w:lvl>
    <w:lvl w:ilvl="7" w:tplc="CB10C4C4" w:tentative="1">
      <w:start w:val="1"/>
      <w:numFmt w:val="bullet"/>
      <w:lvlText w:val="●"/>
      <w:lvlJc w:val="left"/>
      <w:pPr>
        <w:tabs>
          <w:tab w:val="num" w:pos="5760"/>
        </w:tabs>
        <w:ind w:left="5760" w:hanging="360"/>
      </w:pPr>
      <w:rPr>
        <w:rFonts w:ascii="Calibri" w:hAnsi="Calibri" w:hint="default"/>
      </w:rPr>
    </w:lvl>
    <w:lvl w:ilvl="8" w:tplc="075CCA4C" w:tentative="1">
      <w:start w:val="1"/>
      <w:numFmt w:val="bullet"/>
      <w:lvlText w:val="●"/>
      <w:lvlJc w:val="left"/>
      <w:pPr>
        <w:tabs>
          <w:tab w:val="num" w:pos="6480"/>
        </w:tabs>
        <w:ind w:left="6480" w:hanging="360"/>
      </w:pPr>
      <w:rPr>
        <w:rFonts w:ascii="Calibri" w:hAnsi="Calibri" w:hint="default"/>
      </w:rPr>
    </w:lvl>
  </w:abstractNum>
  <w:abstractNum w:abstractNumId="31" w15:restartNumberingAfterBreak="0">
    <w:nsid w:val="7B67038D"/>
    <w:multiLevelType w:val="multilevel"/>
    <w:tmpl w:val="E3C8F146"/>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2" w15:restartNumberingAfterBreak="0">
    <w:nsid w:val="7F537133"/>
    <w:multiLevelType w:val="hybridMultilevel"/>
    <w:tmpl w:val="F6FE30DC"/>
    <w:lvl w:ilvl="0" w:tplc="C6263E72">
      <w:start w:val="1"/>
      <w:numFmt w:val="bullet"/>
      <w:lvlText w:val="•"/>
      <w:lvlJc w:val="left"/>
      <w:pPr>
        <w:tabs>
          <w:tab w:val="num" w:pos="720"/>
        </w:tabs>
        <w:ind w:left="720" w:hanging="360"/>
      </w:pPr>
      <w:rPr>
        <w:rFonts w:ascii="Arial" w:hAnsi="Arial" w:hint="default"/>
      </w:rPr>
    </w:lvl>
    <w:lvl w:ilvl="1" w:tplc="FBA47EB0">
      <w:start w:val="1"/>
      <w:numFmt w:val="bullet"/>
      <w:lvlText w:val="•"/>
      <w:lvlJc w:val="left"/>
      <w:pPr>
        <w:tabs>
          <w:tab w:val="num" w:pos="1440"/>
        </w:tabs>
        <w:ind w:left="1440" w:hanging="360"/>
      </w:pPr>
      <w:rPr>
        <w:rFonts w:ascii="Arial" w:hAnsi="Arial" w:hint="default"/>
      </w:rPr>
    </w:lvl>
    <w:lvl w:ilvl="2" w:tplc="97FE5296">
      <w:start w:val="14604"/>
      <w:numFmt w:val="bullet"/>
      <w:lvlText w:val="•"/>
      <w:lvlJc w:val="left"/>
      <w:pPr>
        <w:tabs>
          <w:tab w:val="num" w:pos="2160"/>
        </w:tabs>
        <w:ind w:left="2160" w:hanging="360"/>
      </w:pPr>
      <w:rPr>
        <w:rFonts w:ascii="Arial" w:hAnsi="Arial" w:hint="default"/>
      </w:rPr>
    </w:lvl>
    <w:lvl w:ilvl="3" w:tplc="B1A6D302">
      <w:start w:val="14604"/>
      <w:numFmt w:val="bullet"/>
      <w:lvlText w:val="•"/>
      <w:lvlJc w:val="left"/>
      <w:pPr>
        <w:tabs>
          <w:tab w:val="num" w:pos="2880"/>
        </w:tabs>
        <w:ind w:left="2880" w:hanging="360"/>
      </w:pPr>
      <w:rPr>
        <w:rFonts w:ascii="Arial" w:hAnsi="Arial" w:hint="default"/>
      </w:rPr>
    </w:lvl>
    <w:lvl w:ilvl="4" w:tplc="8ABCF4C2" w:tentative="1">
      <w:start w:val="1"/>
      <w:numFmt w:val="bullet"/>
      <w:lvlText w:val="•"/>
      <w:lvlJc w:val="left"/>
      <w:pPr>
        <w:tabs>
          <w:tab w:val="num" w:pos="3600"/>
        </w:tabs>
        <w:ind w:left="3600" w:hanging="360"/>
      </w:pPr>
      <w:rPr>
        <w:rFonts w:ascii="Arial" w:hAnsi="Arial" w:hint="default"/>
      </w:rPr>
    </w:lvl>
    <w:lvl w:ilvl="5" w:tplc="79AE7B9C" w:tentative="1">
      <w:start w:val="1"/>
      <w:numFmt w:val="bullet"/>
      <w:lvlText w:val="•"/>
      <w:lvlJc w:val="left"/>
      <w:pPr>
        <w:tabs>
          <w:tab w:val="num" w:pos="4320"/>
        </w:tabs>
        <w:ind w:left="4320" w:hanging="360"/>
      </w:pPr>
      <w:rPr>
        <w:rFonts w:ascii="Arial" w:hAnsi="Arial" w:hint="default"/>
      </w:rPr>
    </w:lvl>
    <w:lvl w:ilvl="6" w:tplc="81D2F32A" w:tentative="1">
      <w:start w:val="1"/>
      <w:numFmt w:val="bullet"/>
      <w:lvlText w:val="•"/>
      <w:lvlJc w:val="left"/>
      <w:pPr>
        <w:tabs>
          <w:tab w:val="num" w:pos="5040"/>
        </w:tabs>
        <w:ind w:left="5040" w:hanging="360"/>
      </w:pPr>
      <w:rPr>
        <w:rFonts w:ascii="Arial" w:hAnsi="Arial" w:hint="default"/>
      </w:rPr>
    </w:lvl>
    <w:lvl w:ilvl="7" w:tplc="20D845F2" w:tentative="1">
      <w:start w:val="1"/>
      <w:numFmt w:val="bullet"/>
      <w:lvlText w:val="•"/>
      <w:lvlJc w:val="left"/>
      <w:pPr>
        <w:tabs>
          <w:tab w:val="num" w:pos="5760"/>
        </w:tabs>
        <w:ind w:left="5760" w:hanging="360"/>
      </w:pPr>
      <w:rPr>
        <w:rFonts w:ascii="Arial" w:hAnsi="Arial" w:hint="default"/>
      </w:rPr>
    </w:lvl>
    <w:lvl w:ilvl="8" w:tplc="E8F4791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F541F58"/>
    <w:multiLevelType w:val="hybridMultilevel"/>
    <w:tmpl w:val="5894BD84"/>
    <w:lvl w:ilvl="0" w:tplc="EE46A9A8">
      <w:start w:val="1"/>
      <w:numFmt w:val="bullet"/>
      <w:lvlText w:val="•"/>
      <w:lvlJc w:val="left"/>
      <w:pPr>
        <w:tabs>
          <w:tab w:val="num" w:pos="720"/>
        </w:tabs>
        <w:ind w:left="720" w:hanging="360"/>
      </w:pPr>
      <w:rPr>
        <w:rFonts w:ascii="Arial" w:hAnsi="Arial" w:hint="default"/>
      </w:rPr>
    </w:lvl>
    <w:lvl w:ilvl="1" w:tplc="3F983E84" w:tentative="1">
      <w:start w:val="1"/>
      <w:numFmt w:val="bullet"/>
      <w:lvlText w:val="•"/>
      <w:lvlJc w:val="left"/>
      <w:pPr>
        <w:tabs>
          <w:tab w:val="num" w:pos="1440"/>
        </w:tabs>
        <w:ind w:left="1440" w:hanging="360"/>
      </w:pPr>
      <w:rPr>
        <w:rFonts w:ascii="Arial" w:hAnsi="Arial" w:hint="default"/>
      </w:rPr>
    </w:lvl>
    <w:lvl w:ilvl="2" w:tplc="C16251EC">
      <w:start w:val="1"/>
      <w:numFmt w:val="bullet"/>
      <w:lvlText w:val="•"/>
      <w:lvlJc w:val="left"/>
      <w:pPr>
        <w:tabs>
          <w:tab w:val="num" w:pos="2160"/>
        </w:tabs>
        <w:ind w:left="2160" w:hanging="360"/>
      </w:pPr>
      <w:rPr>
        <w:rFonts w:ascii="Arial" w:hAnsi="Arial" w:hint="default"/>
      </w:rPr>
    </w:lvl>
    <w:lvl w:ilvl="3" w:tplc="4EE40E58" w:tentative="1">
      <w:start w:val="1"/>
      <w:numFmt w:val="bullet"/>
      <w:lvlText w:val="•"/>
      <w:lvlJc w:val="left"/>
      <w:pPr>
        <w:tabs>
          <w:tab w:val="num" w:pos="2880"/>
        </w:tabs>
        <w:ind w:left="2880" w:hanging="360"/>
      </w:pPr>
      <w:rPr>
        <w:rFonts w:ascii="Arial" w:hAnsi="Arial" w:hint="default"/>
      </w:rPr>
    </w:lvl>
    <w:lvl w:ilvl="4" w:tplc="8D80D214" w:tentative="1">
      <w:start w:val="1"/>
      <w:numFmt w:val="bullet"/>
      <w:lvlText w:val="•"/>
      <w:lvlJc w:val="left"/>
      <w:pPr>
        <w:tabs>
          <w:tab w:val="num" w:pos="3600"/>
        </w:tabs>
        <w:ind w:left="3600" w:hanging="360"/>
      </w:pPr>
      <w:rPr>
        <w:rFonts w:ascii="Arial" w:hAnsi="Arial" w:hint="default"/>
      </w:rPr>
    </w:lvl>
    <w:lvl w:ilvl="5" w:tplc="F16A3844" w:tentative="1">
      <w:start w:val="1"/>
      <w:numFmt w:val="bullet"/>
      <w:lvlText w:val="•"/>
      <w:lvlJc w:val="left"/>
      <w:pPr>
        <w:tabs>
          <w:tab w:val="num" w:pos="4320"/>
        </w:tabs>
        <w:ind w:left="4320" w:hanging="360"/>
      </w:pPr>
      <w:rPr>
        <w:rFonts w:ascii="Arial" w:hAnsi="Arial" w:hint="default"/>
      </w:rPr>
    </w:lvl>
    <w:lvl w:ilvl="6" w:tplc="F71EC36C" w:tentative="1">
      <w:start w:val="1"/>
      <w:numFmt w:val="bullet"/>
      <w:lvlText w:val="•"/>
      <w:lvlJc w:val="left"/>
      <w:pPr>
        <w:tabs>
          <w:tab w:val="num" w:pos="5040"/>
        </w:tabs>
        <w:ind w:left="5040" w:hanging="360"/>
      </w:pPr>
      <w:rPr>
        <w:rFonts w:ascii="Arial" w:hAnsi="Arial" w:hint="default"/>
      </w:rPr>
    </w:lvl>
    <w:lvl w:ilvl="7" w:tplc="C38089D6" w:tentative="1">
      <w:start w:val="1"/>
      <w:numFmt w:val="bullet"/>
      <w:lvlText w:val="•"/>
      <w:lvlJc w:val="left"/>
      <w:pPr>
        <w:tabs>
          <w:tab w:val="num" w:pos="5760"/>
        </w:tabs>
        <w:ind w:left="5760" w:hanging="360"/>
      </w:pPr>
      <w:rPr>
        <w:rFonts w:ascii="Arial" w:hAnsi="Arial" w:hint="default"/>
      </w:rPr>
    </w:lvl>
    <w:lvl w:ilvl="8" w:tplc="527E32BA" w:tentative="1">
      <w:start w:val="1"/>
      <w:numFmt w:val="bullet"/>
      <w:lvlText w:val="•"/>
      <w:lvlJc w:val="left"/>
      <w:pPr>
        <w:tabs>
          <w:tab w:val="num" w:pos="6480"/>
        </w:tabs>
        <w:ind w:left="6480" w:hanging="360"/>
      </w:pPr>
      <w:rPr>
        <w:rFonts w:ascii="Arial" w:hAnsi="Arial" w:hint="default"/>
      </w:rPr>
    </w:lvl>
  </w:abstractNum>
  <w:num w:numId="1">
    <w:abstractNumId w:val="15"/>
  </w:num>
  <w:num w:numId="2">
    <w:abstractNumId w:val="1"/>
  </w:num>
  <w:num w:numId="3">
    <w:abstractNumId w:val="2"/>
  </w:num>
  <w:num w:numId="4">
    <w:abstractNumId w:val="4"/>
  </w:num>
  <w:num w:numId="5">
    <w:abstractNumId w:val="7"/>
  </w:num>
  <w:num w:numId="6">
    <w:abstractNumId w:val="17"/>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num>
  <w:num w:numId="9">
    <w:abstractNumId w:val="26"/>
  </w:num>
  <w:num w:numId="10">
    <w:abstractNumId w:val="32"/>
  </w:num>
  <w:num w:numId="11">
    <w:abstractNumId w:val="21"/>
  </w:num>
  <w:num w:numId="12">
    <w:abstractNumId w:val="5"/>
  </w:num>
  <w:num w:numId="13">
    <w:abstractNumId w:val="28"/>
  </w:num>
  <w:num w:numId="14">
    <w:abstractNumId w:val="6"/>
  </w:num>
  <w:num w:numId="15">
    <w:abstractNumId w:val="10"/>
  </w:num>
  <w:num w:numId="16">
    <w:abstractNumId w:val="19"/>
  </w:num>
  <w:num w:numId="17">
    <w:abstractNumId w:val="20"/>
  </w:num>
  <w:num w:numId="18">
    <w:abstractNumId w:val="8"/>
  </w:num>
  <w:num w:numId="19">
    <w:abstractNumId w:val="12"/>
  </w:num>
  <w:num w:numId="20">
    <w:abstractNumId w:val="11"/>
  </w:num>
  <w:num w:numId="21">
    <w:abstractNumId w:val="0"/>
    <w:lvlOverride w:ilvl="0"/>
  </w:num>
  <w:num w:numId="22">
    <w:abstractNumId w:val="22"/>
  </w:num>
  <w:num w:numId="23">
    <w:abstractNumId w:val="3"/>
    <w:lvlOverride w:ilvl="0">
      <w:startOverride w:val="1"/>
    </w:lvlOverride>
  </w:num>
  <w:num w:numId="24">
    <w:abstractNumId w:val="29"/>
  </w:num>
  <w:num w:numId="25">
    <w:abstractNumId w:val="14"/>
  </w:num>
  <w:num w:numId="26">
    <w:abstractNumId w:val="23"/>
    <w:lvlOverride w:ilvl="0"/>
    <w:lvlOverride w:ilvl="1"/>
    <w:lvlOverride w:ilvl="2"/>
    <w:lvlOverride w:ilvl="3"/>
    <w:lvlOverride w:ilvl="4"/>
    <w:lvlOverride w:ilvl="5"/>
    <w:lvlOverride w:ilvl="6"/>
    <w:lvlOverride w:ilvl="7"/>
    <w:lvlOverride w:ilvl="8"/>
  </w:num>
  <w:num w:numId="27">
    <w:abstractNumId w:val="13"/>
    <w:lvlOverride w:ilvl="0"/>
    <w:lvlOverride w:ilvl="1"/>
    <w:lvlOverride w:ilvl="2"/>
    <w:lvlOverride w:ilvl="3"/>
    <w:lvlOverride w:ilvl="4"/>
    <w:lvlOverride w:ilvl="5"/>
    <w:lvlOverride w:ilvl="6"/>
    <w:lvlOverride w:ilvl="7"/>
    <w:lvlOverride w:ilvl="8"/>
  </w:num>
  <w:num w:numId="28">
    <w:abstractNumId w:val="9"/>
  </w:num>
  <w:num w:numId="29">
    <w:abstractNumId w:val="30"/>
  </w:num>
  <w:num w:numId="30">
    <w:abstractNumId w:val="3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lvlOverride w:ilvl="0"/>
    <w:lvlOverride w:ilvl="1"/>
    <w:lvlOverride w:ilvl="2"/>
    <w:lvlOverride w:ilvl="3"/>
    <w:lvlOverride w:ilvl="4"/>
    <w:lvlOverride w:ilvl="5"/>
    <w:lvlOverride w:ilvl="6"/>
    <w:lvlOverride w:ilvl="7"/>
    <w:lvlOverride w:ilvl="8"/>
  </w:num>
  <w:num w:numId="32">
    <w:abstractNumId w:val="23"/>
  </w:num>
  <w:num w:numId="33">
    <w:abstractNumId w:val="27"/>
  </w:num>
  <w:num w:numId="34">
    <w:abstractNumId w:val="16"/>
  </w:num>
  <w:num w:numId="35">
    <w:abstractNumId w:val="18"/>
  </w:num>
  <w:num w:numId="3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9AA"/>
    <w:rsid w:val="00001A33"/>
    <w:rsid w:val="00003EAB"/>
    <w:rsid w:val="00004D25"/>
    <w:rsid w:val="00006FA7"/>
    <w:rsid w:val="00010CBF"/>
    <w:rsid w:val="000111E6"/>
    <w:rsid w:val="00011903"/>
    <w:rsid w:val="00012418"/>
    <w:rsid w:val="00022E4A"/>
    <w:rsid w:val="00023485"/>
    <w:rsid w:val="00024607"/>
    <w:rsid w:val="00024C55"/>
    <w:rsid w:val="00027A4D"/>
    <w:rsid w:val="0003019E"/>
    <w:rsid w:val="000325D6"/>
    <w:rsid w:val="00034140"/>
    <w:rsid w:val="00035D3C"/>
    <w:rsid w:val="0003754E"/>
    <w:rsid w:val="00040A2D"/>
    <w:rsid w:val="000416A3"/>
    <w:rsid w:val="000429BD"/>
    <w:rsid w:val="00043473"/>
    <w:rsid w:val="000440EC"/>
    <w:rsid w:val="00044480"/>
    <w:rsid w:val="0004523E"/>
    <w:rsid w:val="000462FE"/>
    <w:rsid w:val="000475FA"/>
    <w:rsid w:val="000556FC"/>
    <w:rsid w:val="00055946"/>
    <w:rsid w:val="00057009"/>
    <w:rsid w:val="0006225E"/>
    <w:rsid w:val="000643C1"/>
    <w:rsid w:val="0006594E"/>
    <w:rsid w:val="00066BD0"/>
    <w:rsid w:val="00067E7F"/>
    <w:rsid w:val="00070D3B"/>
    <w:rsid w:val="00071E8B"/>
    <w:rsid w:val="000723CA"/>
    <w:rsid w:val="000734D6"/>
    <w:rsid w:val="00074E7A"/>
    <w:rsid w:val="0007529D"/>
    <w:rsid w:val="000803E8"/>
    <w:rsid w:val="000847AC"/>
    <w:rsid w:val="00084886"/>
    <w:rsid w:val="00093832"/>
    <w:rsid w:val="00097BE0"/>
    <w:rsid w:val="000A6394"/>
    <w:rsid w:val="000B0BF3"/>
    <w:rsid w:val="000B1FC7"/>
    <w:rsid w:val="000B321A"/>
    <w:rsid w:val="000B554A"/>
    <w:rsid w:val="000B55EA"/>
    <w:rsid w:val="000C031D"/>
    <w:rsid w:val="000C038A"/>
    <w:rsid w:val="000C1A5B"/>
    <w:rsid w:val="000C2049"/>
    <w:rsid w:val="000C2B2C"/>
    <w:rsid w:val="000C2BBA"/>
    <w:rsid w:val="000C5922"/>
    <w:rsid w:val="000C6598"/>
    <w:rsid w:val="000D15E3"/>
    <w:rsid w:val="000E022F"/>
    <w:rsid w:val="000E38B9"/>
    <w:rsid w:val="000E3A64"/>
    <w:rsid w:val="000E4064"/>
    <w:rsid w:val="000E596B"/>
    <w:rsid w:val="000E6883"/>
    <w:rsid w:val="000E7950"/>
    <w:rsid w:val="000F052C"/>
    <w:rsid w:val="000F1E0D"/>
    <w:rsid w:val="000F2FD0"/>
    <w:rsid w:val="000F35E0"/>
    <w:rsid w:val="000F5080"/>
    <w:rsid w:val="000F57F1"/>
    <w:rsid w:val="000F6709"/>
    <w:rsid w:val="001044EA"/>
    <w:rsid w:val="001058BF"/>
    <w:rsid w:val="00106A93"/>
    <w:rsid w:val="00107586"/>
    <w:rsid w:val="00111A68"/>
    <w:rsid w:val="00111C75"/>
    <w:rsid w:val="001130EC"/>
    <w:rsid w:val="0011327B"/>
    <w:rsid w:val="00113A3F"/>
    <w:rsid w:val="0011769E"/>
    <w:rsid w:val="0012020C"/>
    <w:rsid w:val="00124DEE"/>
    <w:rsid w:val="00125EA7"/>
    <w:rsid w:val="00126D0E"/>
    <w:rsid w:val="00131804"/>
    <w:rsid w:val="00134FF6"/>
    <w:rsid w:val="00135194"/>
    <w:rsid w:val="00136BE3"/>
    <w:rsid w:val="00143179"/>
    <w:rsid w:val="0014376F"/>
    <w:rsid w:val="00145D43"/>
    <w:rsid w:val="001475DF"/>
    <w:rsid w:val="0015642F"/>
    <w:rsid w:val="001618D4"/>
    <w:rsid w:val="001623E3"/>
    <w:rsid w:val="001631C0"/>
    <w:rsid w:val="00164383"/>
    <w:rsid w:val="00164FF1"/>
    <w:rsid w:val="00166473"/>
    <w:rsid w:val="001667D6"/>
    <w:rsid w:val="0017005C"/>
    <w:rsid w:val="00170E13"/>
    <w:rsid w:val="00171ED1"/>
    <w:rsid w:val="00173145"/>
    <w:rsid w:val="0017316B"/>
    <w:rsid w:val="00174D57"/>
    <w:rsid w:val="00175000"/>
    <w:rsid w:val="00180F5F"/>
    <w:rsid w:val="00183B9B"/>
    <w:rsid w:val="00183E1A"/>
    <w:rsid w:val="00185E94"/>
    <w:rsid w:val="00186A02"/>
    <w:rsid w:val="00192C46"/>
    <w:rsid w:val="00195818"/>
    <w:rsid w:val="00195F02"/>
    <w:rsid w:val="001A0558"/>
    <w:rsid w:val="001A1103"/>
    <w:rsid w:val="001A3514"/>
    <w:rsid w:val="001A4647"/>
    <w:rsid w:val="001A7B60"/>
    <w:rsid w:val="001B0135"/>
    <w:rsid w:val="001B2073"/>
    <w:rsid w:val="001B437D"/>
    <w:rsid w:val="001B46A8"/>
    <w:rsid w:val="001B7A65"/>
    <w:rsid w:val="001B7A9B"/>
    <w:rsid w:val="001C133D"/>
    <w:rsid w:val="001C1C2B"/>
    <w:rsid w:val="001C5162"/>
    <w:rsid w:val="001C5EC4"/>
    <w:rsid w:val="001D0703"/>
    <w:rsid w:val="001D141F"/>
    <w:rsid w:val="001D1EB2"/>
    <w:rsid w:val="001D2858"/>
    <w:rsid w:val="001D5F32"/>
    <w:rsid w:val="001E41F3"/>
    <w:rsid w:val="001E5DD2"/>
    <w:rsid w:val="001F23A6"/>
    <w:rsid w:val="001F2A9C"/>
    <w:rsid w:val="001F2F15"/>
    <w:rsid w:val="001F5ACB"/>
    <w:rsid w:val="001F5CA3"/>
    <w:rsid w:val="001F7C30"/>
    <w:rsid w:val="00201006"/>
    <w:rsid w:val="00202939"/>
    <w:rsid w:val="00202F43"/>
    <w:rsid w:val="00204850"/>
    <w:rsid w:val="00212558"/>
    <w:rsid w:val="00213B82"/>
    <w:rsid w:val="00214D8E"/>
    <w:rsid w:val="0021537A"/>
    <w:rsid w:val="00215A69"/>
    <w:rsid w:val="0021672A"/>
    <w:rsid w:val="00221C75"/>
    <w:rsid w:val="002239A6"/>
    <w:rsid w:val="002241C4"/>
    <w:rsid w:val="00224B3B"/>
    <w:rsid w:val="002252EF"/>
    <w:rsid w:val="0022533F"/>
    <w:rsid w:val="00226851"/>
    <w:rsid w:val="002323B4"/>
    <w:rsid w:val="00237100"/>
    <w:rsid w:val="00237275"/>
    <w:rsid w:val="00246C43"/>
    <w:rsid w:val="00247E50"/>
    <w:rsid w:val="00251AAA"/>
    <w:rsid w:val="002558E0"/>
    <w:rsid w:val="0026004D"/>
    <w:rsid w:val="002605D9"/>
    <w:rsid w:val="0026101E"/>
    <w:rsid w:val="0026121A"/>
    <w:rsid w:val="002657A0"/>
    <w:rsid w:val="00265FDA"/>
    <w:rsid w:val="002746DE"/>
    <w:rsid w:val="00275042"/>
    <w:rsid w:val="002757BB"/>
    <w:rsid w:val="00275D12"/>
    <w:rsid w:val="0028139E"/>
    <w:rsid w:val="002834BD"/>
    <w:rsid w:val="002835C4"/>
    <w:rsid w:val="002860C4"/>
    <w:rsid w:val="00287458"/>
    <w:rsid w:val="00294EB9"/>
    <w:rsid w:val="0029717E"/>
    <w:rsid w:val="002A01CC"/>
    <w:rsid w:val="002A0CE9"/>
    <w:rsid w:val="002A2DDF"/>
    <w:rsid w:val="002B4921"/>
    <w:rsid w:val="002B513E"/>
    <w:rsid w:val="002B520F"/>
    <w:rsid w:val="002B5741"/>
    <w:rsid w:val="002B59C7"/>
    <w:rsid w:val="002B5C3D"/>
    <w:rsid w:val="002C072A"/>
    <w:rsid w:val="002C148A"/>
    <w:rsid w:val="002C1766"/>
    <w:rsid w:val="002C281C"/>
    <w:rsid w:val="002C3545"/>
    <w:rsid w:val="002D0BC2"/>
    <w:rsid w:val="002D1445"/>
    <w:rsid w:val="002D2E06"/>
    <w:rsid w:val="002D33E1"/>
    <w:rsid w:val="002D7339"/>
    <w:rsid w:val="002E225A"/>
    <w:rsid w:val="002E23A8"/>
    <w:rsid w:val="002E24B5"/>
    <w:rsid w:val="002E2D2D"/>
    <w:rsid w:val="002E3025"/>
    <w:rsid w:val="002E39B7"/>
    <w:rsid w:val="002E3D60"/>
    <w:rsid w:val="002E669C"/>
    <w:rsid w:val="002E7E69"/>
    <w:rsid w:val="002F300E"/>
    <w:rsid w:val="002F623C"/>
    <w:rsid w:val="002F68B5"/>
    <w:rsid w:val="003000C0"/>
    <w:rsid w:val="00301D4A"/>
    <w:rsid w:val="00305409"/>
    <w:rsid w:val="00305D6A"/>
    <w:rsid w:val="003072E5"/>
    <w:rsid w:val="00311DDE"/>
    <w:rsid w:val="00311E83"/>
    <w:rsid w:val="00316D3F"/>
    <w:rsid w:val="00323F2A"/>
    <w:rsid w:val="00333122"/>
    <w:rsid w:val="00333B09"/>
    <w:rsid w:val="00334D99"/>
    <w:rsid w:val="00336199"/>
    <w:rsid w:val="003367EE"/>
    <w:rsid w:val="00341277"/>
    <w:rsid w:val="00343F87"/>
    <w:rsid w:val="00346766"/>
    <w:rsid w:val="003505ED"/>
    <w:rsid w:val="00350748"/>
    <w:rsid w:val="003535F0"/>
    <w:rsid w:val="00355BEB"/>
    <w:rsid w:val="00360CFF"/>
    <w:rsid w:val="00362AAA"/>
    <w:rsid w:val="0036378C"/>
    <w:rsid w:val="0036462B"/>
    <w:rsid w:val="00364CF2"/>
    <w:rsid w:val="00365064"/>
    <w:rsid w:val="00370763"/>
    <w:rsid w:val="00371E5C"/>
    <w:rsid w:val="003720BC"/>
    <w:rsid w:val="00374E7B"/>
    <w:rsid w:val="0038176A"/>
    <w:rsid w:val="00383766"/>
    <w:rsid w:val="0039258D"/>
    <w:rsid w:val="00395B3A"/>
    <w:rsid w:val="003A1119"/>
    <w:rsid w:val="003A6E0C"/>
    <w:rsid w:val="003B20E0"/>
    <w:rsid w:val="003B22A0"/>
    <w:rsid w:val="003B3EA2"/>
    <w:rsid w:val="003B448D"/>
    <w:rsid w:val="003B55D8"/>
    <w:rsid w:val="003B5AE6"/>
    <w:rsid w:val="003B6EBB"/>
    <w:rsid w:val="003C046C"/>
    <w:rsid w:val="003C2275"/>
    <w:rsid w:val="003C2DB3"/>
    <w:rsid w:val="003C6439"/>
    <w:rsid w:val="003D34D6"/>
    <w:rsid w:val="003D59F7"/>
    <w:rsid w:val="003E05E9"/>
    <w:rsid w:val="003E10F0"/>
    <w:rsid w:val="003E1A36"/>
    <w:rsid w:val="003E3363"/>
    <w:rsid w:val="003E577A"/>
    <w:rsid w:val="003E5C4C"/>
    <w:rsid w:val="003E65E7"/>
    <w:rsid w:val="003E6EC9"/>
    <w:rsid w:val="003E7361"/>
    <w:rsid w:val="003E7B6E"/>
    <w:rsid w:val="003F0458"/>
    <w:rsid w:val="003F1AFD"/>
    <w:rsid w:val="003F2D18"/>
    <w:rsid w:val="003F519E"/>
    <w:rsid w:val="003F6988"/>
    <w:rsid w:val="00401DB3"/>
    <w:rsid w:val="0040227D"/>
    <w:rsid w:val="0040264B"/>
    <w:rsid w:val="004036FD"/>
    <w:rsid w:val="00404E4B"/>
    <w:rsid w:val="00406217"/>
    <w:rsid w:val="00410B1B"/>
    <w:rsid w:val="00410CB4"/>
    <w:rsid w:val="00410F0F"/>
    <w:rsid w:val="004119D8"/>
    <w:rsid w:val="004124CF"/>
    <w:rsid w:val="00413FFD"/>
    <w:rsid w:val="00414C99"/>
    <w:rsid w:val="00417F64"/>
    <w:rsid w:val="004231AB"/>
    <w:rsid w:val="004242F1"/>
    <w:rsid w:val="00432189"/>
    <w:rsid w:val="00432932"/>
    <w:rsid w:val="00434A7F"/>
    <w:rsid w:val="00437FAE"/>
    <w:rsid w:val="00441697"/>
    <w:rsid w:val="004419F6"/>
    <w:rsid w:val="00442251"/>
    <w:rsid w:val="00445BF1"/>
    <w:rsid w:val="00456AA2"/>
    <w:rsid w:val="0045780C"/>
    <w:rsid w:val="0046174F"/>
    <w:rsid w:val="00461C38"/>
    <w:rsid w:val="00464BB9"/>
    <w:rsid w:val="004650AC"/>
    <w:rsid w:val="004677A6"/>
    <w:rsid w:val="004678ED"/>
    <w:rsid w:val="00470BCA"/>
    <w:rsid w:val="00470EB9"/>
    <w:rsid w:val="004730CC"/>
    <w:rsid w:val="004742D5"/>
    <w:rsid w:val="0047605D"/>
    <w:rsid w:val="00480622"/>
    <w:rsid w:val="00480F68"/>
    <w:rsid w:val="00481057"/>
    <w:rsid w:val="004819A6"/>
    <w:rsid w:val="00483345"/>
    <w:rsid w:val="00485223"/>
    <w:rsid w:val="004876EA"/>
    <w:rsid w:val="004A0EA5"/>
    <w:rsid w:val="004A308C"/>
    <w:rsid w:val="004A7D06"/>
    <w:rsid w:val="004B67DC"/>
    <w:rsid w:val="004B75B7"/>
    <w:rsid w:val="004C25B7"/>
    <w:rsid w:val="004C3BBC"/>
    <w:rsid w:val="004C3C5F"/>
    <w:rsid w:val="004C40FC"/>
    <w:rsid w:val="004C45B5"/>
    <w:rsid w:val="004D1592"/>
    <w:rsid w:val="004D27E6"/>
    <w:rsid w:val="004D441A"/>
    <w:rsid w:val="004D7FEC"/>
    <w:rsid w:val="004E3324"/>
    <w:rsid w:val="004E33FD"/>
    <w:rsid w:val="004E4750"/>
    <w:rsid w:val="004E4FC1"/>
    <w:rsid w:val="004E5010"/>
    <w:rsid w:val="004E6375"/>
    <w:rsid w:val="004E78EC"/>
    <w:rsid w:val="004F1397"/>
    <w:rsid w:val="004F249E"/>
    <w:rsid w:val="004F24AB"/>
    <w:rsid w:val="004F345B"/>
    <w:rsid w:val="004F4D7B"/>
    <w:rsid w:val="004F6237"/>
    <w:rsid w:val="004F7FA8"/>
    <w:rsid w:val="0050364B"/>
    <w:rsid w:val="00503C65"/>
    <w:rsid w:val="0050493B"/>
    <w:rsid w:val="00513DED"/>
    <w:rsid w:val="00513F94"/>
    <w:rsid w:val="0051580D"/>
    <w:rsid w:val="00515C73"/>
    <w:rsid w:val="005163CE"/>
    <w:rsid w:val="00521B72"/>
    <w:rsid w:val="00521BFF"/>
    <w:rsid w:val="00521DD4"/>
    <w:rsid w:val="00523CDD"/>
    <w:rsid w:val="00530FF2"/>
    <w:rsid w:val="00533549"/>
    <w:rsid w:val="00537908"/>
    <w:rsid w:val="00540AA8"/>
    <w:rsid w:val="00542892"/>
    <w:rsid w:val="00543D75"/>
    <w:rsid w:val="00544560"/>
    <w:rsid w:val="00545F12"/>
    <w:rsid w:val="00550584"/>
    <w:rsid w:val="00553D92"/>
    <w:rsid w:val="005605BC"/>
    <w:rsid w:val="00562F82"/>
    <w:rsid w:val="00564BCD"/>
    <w:rsid w:val="00565F1A"/>
    <w:rsid w:val="0057050D"/>
    <w:rsid w:val="00571C34"/>
    <w:rsid w:val="005737E3"/>
    <w:rsid w:val="005774D1"/>
    <w:rsid w:val="005775A2"/>
    <w:rsid w:val="00580EAD"/>
    <w:rsid w:val="00582A11"/>
    <w:rsid w:val="00583E7C"/>
    <w:rsid w:val="00587ECF"/>
    <w:rsid w:val="00587F50"/>
    <w:rsid w:val="00590D3D"/>
    <w:rsid w:val="00592D74"/>
    <w:rsid w:val="00594B5A"/>
    <w:rsid w:val="00597335"/>
    <w:rsid w:val="0059740F"/>
    <w:rsid w:val="005A10BE"/>
    <w:rsid w:val="005A1F9E"/>
    <w:rsid w:val="005A3D57"/>
    <w:rsid w:val="005B2B48"/>
    <w:rsid w:val="005B6C37"/>
    <w:rsid w:val="005B74B5"/>
    <w:rsid w:val="005B7E9E"/>
    <w:rsid w:val="005C109D"/>
    <w:rsid w:val="005C13A7"/>
    <w:rsid w:val="005C1A8F"/>
    <w:rsid w:val="005C2AF2"/>
    <w:rsid w:val="005C38A7"/>
    <w:rsid w:val="005C3B87"/>
    <w:rsid w:val="005C4BF3"/>
    <w:rsid w:val="005C78BD"/>
    <w:rsid w:val="005E175A"/>
    <w:rsid w:val="005E20C6"/>
    <w:rsid w:val="005E2C44"/>
    <w:rsid w:val="005E4BB2"/>
    <w:rsid w:val="005F08A2"/>
    <w:rsid w:val="005F11DA"/>
    <w:rsid w:val="005F3402"/>
    <w:rsid w:val="005F7285"/>
    <w:rsid w:val="005F7E3B"/>
    <w:rsid w:val="00601D46"/>
    <w:rsid w:val="00601F80"/>
    <w:rsid w:val="00604422"/>
    <w:rsid w:val="00605EDC"/>
    <w:rsid w:val="00611AA9"/>
    <w:rsid w:val="00616AFA"/>
    <w:rsid w:val="0061794C"/>
    <w:rsid w:val="00620242"/>
    <w:rsid w:val="00621188"/>
    <w:rsid w:val="00622B4E"/>
    <w:rsid w:val="006257ED"/>
    <w:rsid w:val="006275F8"/>
    <w:rsid w:val="006319DC"/>
    <w:rsid w:val="00635CD8"/>
    <w:rsid w:val="00635D2D"/>
    <w:rsid w:val="006373EA"/>
    <w:rsid w:val="0064222C"/>
    <w:rsid w:val="00643BA1"/>
    <w:rsid w:val="006457D0"/>
    <w:rsid w:val="006459E2"/>
    <w:rsid w:val="00646C14"/>
    <w:rsid w:val="00653B48"/>
    <w:rsid w:val="00654E37"/>
    <w:rsid w:val="00656C6C"/>
    <w:rsid w:val="00656CA7"/>
    <w:rsid w:val="006571C4"/>
    <w:rsid w:val="00663D44"/>
    <w:rsid w:val="00663FB8"/>
    <w:rsid w:val="00664AFB"/>
    <w:rsid w:val="00670318"/>
    <w:rsid w:val="00671AEA"/>
    <w:rsid w:val="006758E1"/>
    <w:rsid w:val="006771EA"/>
    <w:rsid w:val="0068013A"/>
    <w:rsid w:val="0068049A"/>
    <w:rsid w:val="006810F7"/>
    <w:rsid w:val="00682099"/>
    <w:rsid w:val="0068250F"/>
    <w:rsid w:val="00683E1C"/>
    <w:rsid w:val="00684AFF"/>
    <w:rsid w:val="00687C5A"/>
    <w:rsid w:val="0069245B"/>
    <w:rsid w:val="00695808"/>
    <w:rsid w:val="00695C4D"/>
    <w:rsid w:val="006A154B"/>
    <w:rsid w:val="006A1CA0"/>
    <w:rsid w:val="006A5D3E"/>
    <w:rsid w:val="006A5E1C"/>
    <w:rsid w:val="006A76DD"/>
    <w:rsid w:val="006B24DB"/>
    <w:rsid w:val="006B38C2"/>
    <w:rsid w:val="006B46FB"/>
    <w:rsid w:val="006B5DF9"/>
    <w:rsid w:val="006C02F2"/>
    <w:rsid w:val="006C1934"/>
    <w:rsid w:val="006C19F7"/>
    <w:rsid w:val="006C37AF"/>
    <w:rsid w:val="006C3D5B"/>
    <w:rsid w:val="006C41DA"/>
    <w:rsid w:val="006C4A27"/>
    <w:rsid w:val="006C5A0B"/>
    <w:rsid w:val="006C6F64"/>
    <w:rsid w:val="006C7BDF"/>
    <w:rsid w:val="006D05F2"/>
    <w:rsid w:val="006D2715"/>
    <w:rsid w:val="006D2B67"/>
    <w:rsid w:val="006D2F35"/>
    <w:rsid w:val="006D63FA"/>
    <w:rsid w:val="006E068E"/>
    <w:rsid w:val="006E21FB"/>
    <w:rsid w:val="006E3F88"/>
    <w:rsid w:val="006E5579"/>
    <w:rsid w:val="006E5D81"/>
    <w:rsid w:val="006E7DF0"/>
    <w:rsid w:val="006E7E48"/>
    <w:rsid w:val="006F08FB"/>
    <w:rsid w:val="006F0918"/>
    <w:rsid w:val="006F3294"/>
    <w:rsid w:val="006F34BF"/>
    <w:rsid w:val="00704A75"/>
    <w:rsid w:val="00707241"/>
    <w:rsid w:val="00710471"/>
    <w:rsid w:val="00711F17"/>
    <w:rsid w:val="0072409A"/>
    <w:rsid w:val="00724AC8"/>
    <w:rsid w:val="00725FF2"/>
    <w:rsid w:val="00726489"/>
    <w:rsid w:val="00727009"/>
    <w:rsid w:val="00733CCF"/>
    <w:rsid w:val="00741B9D"/>
    <w:rsid w:val="00745144"/>
    <w:rsid w:val="00745C77"/>
    <w:rsid w:val="00746BD3"/>
    <w:rsid w:val="0075004C"/>
    <w:rsid w:val="0075113A"/>
    <w:rsid w:val="0075391A"/>
    <w:rsid w:val="00755B22"/>
    <w:rsid w:val="007602A6"/>
    <w:rsid w:val="00761122"/>
    <w:rsid w:val="007615CC"/>
    <w:rsid w:val="00761FC9"/>
    <w:rsid w:val="007626B2"/>
    <w:rsid w:val="00762DBA"/>
    <w:rsid w:val="00765364"/>
    <w:rsid w:val="007669A5"/>
    <w:rsid w:val="007669E8"/>
    <w:rsid w:val="00766B08"/>
    <w:rsid w:val="00767F20"/>
    <w:rsid w:val="00770A40"/>
    <w:rsid w:val="00773395"/>
    <w:rsid w:val="0077715B"/>
    <w:rsid w:val="00780B5E"/>
    <w:rsid w:val="00783904"/>
    <w:rsid w:val="007839B9"/>
    <w:rsid w:val="00784BC5"/>
    <w:rsid w:val="0079062C"/>
    <w:rsid w:val="00792342"/>
    <w:rsid w:val="0079568B"/>
    <w:rsid w:val="007965A2"/>
    <w:rsid w:val="00796735"/>
    <w:rsid w:val="00796EBF"/>
    <w:rsid w:val="007970D1"/>
    <w:rsid w:val="007A019A"/>
    <w:rsid w:val="007A11A8"/>
    <w:rsid w:val="007A30B4"/>
    <w:rsid w:val="007A3F37"/>
    <w:rsid w:val="007A4B9B"/>
    <w:rsid w:val="007A5375"/>
    <w:rsid w:val="007A7819"/>
    <w:rsid w:val="007B1444"/>
    <w:rsid w:val="007B512A"/>
    <w:rsid w:val="007B6577"/>
    <w:rsid w:val="007C0A66"/>
    <w:rsid w:val="007C2097"/>
    <w:rsid w:val="007C3908"/>
    <w:rsid w:val="007C4DAC"/>
    <w:rsid w:val="007C5841"/>
    <w:rsid w:val="007D0587"/>
    <w:rsid w:val="007D081B"/>
    <w:rsid w:val="007D55EC"/>
    <w:rsid w:val="007D6099"/>
    <w:rsid w:val="007D6A07"/>
    <w:rsid w:val="007D6BF7"/>
    <w:rsid w:val="007E109F"/>
    <w:rsid w:val="007E453F"/>
    <w:rsid w:val="007E4C01"/>
    <w:rsid w:val="007E546B"/>
    <w:rsid w:val="007F2179"/>
    <w:rsid w:val="007F4A87"/>
    <w:rsid w:val="0080040D"/>
    <w:rsid w:val="0080111B"/>
    <w:rsid w:val="00807C14"/>
    <w:rsid w:val="00812357"/>
    <w:rsid w:val="00813A9C"/>
    <w:rsid w:val="00813C36"/>
    <w:rsid w:val="00815EC3"/>
    <w:rsid w:val="00817E34"/>
    <w:rsid w:val="008238C8"/>
    <w:rsid w:val="00823DFB"/>
    <w:rsid w:val="0082409D"/>
    <w:rsid w:val="00826350"/>
    <w:rsid w:val="008271BB"/>
    <w:rsid w:val="008279FA"/>
    <w:rsid w:val="00830FD8"/>
    <w:rsid w:val="00835025"/>
    <w:rsid w:val="00841794"/>
    <w:rsid w:val="008433AD"/>
    <w:rsid w:val="00844E40"/>
    <w:rsid w:val="00846D8C"/>
    <w:rsid w:val="00850456"/>
    <w:rsid w:val="0085090E"/>
    <w:rsid w:val="008509A9"/>
    <w:rsid w:val="008517EF"/>
    <w:rsid w:val="00851C29"/>
    <w:rsid w:val="00854B6F"/>
    <w:rsid w:val="00855FFB"/>
    <w:rsid w:val="0085623B"/>
    <w:rsid w:val="00856566"/>
    <w:rsid w:val="00861FE4"/>
    <w:rsid w:val="008620FD"/>
    <w:rsid w:val="008626E7"/>
    <w:rsid w:val="00864A2F"/>
    <w:rsid w:val="0086714C"/>
    <w:rsid w:val="00870EE7"/>
    <w:rsid w:val="00871E6F"/>
    <w:rsid w:val="0087278D"/>
    <w:rsid w:val="00875968"/>
    <w:rsid w:val="00876809"/>
    <w:rsid w:val="0087760F"/>
    <w:rsid w:val="00880B58"/>
    <w:rsid w:val="008839C8"/>
    <w:rsid w:val="00884CCE"/>
    <w:rsid w:val="00885FC0"/>
    <w:rsid w:val="008935E5"/>
    <w:rsid w:val="0089484A"/>
    <w:rsid w:val="00896A6A"/>
    <w:rsid w:val="00896CBC"/>
    <w:rsid w:val="008A079F"/>
    <w:rsid w:val="008A6D0F"/>
    <w:rsid w:val="008A7A81"/>
    <w:rsid w:val="008B10C7"/>
    <w:rsid w:val="008B3652"/>
    <w:rsid w:val="008B4E80"/>
    <w:rsid w:val="008B6145"/>
    <w:rsid w:val="008B6ACD"/>
    <w:rsid w:val="008C14B8"/>
    <w:rsid w:val="008C66F7"/>
    <w:rsid w:val="008C710E"/>
    <w:rsid w:val="008D72D1"/>
    <w:rsid w:val="008D7A94"/>
    <w:rsid w:val="008D7B0D"/>
    <w:rsid w:val="008E1351"/>
    <w:rsid w:val="008E3AC5"/>
    <w:rsid w:val="008E56F0"/>
    <w:rsid w:val="008E5749"/>
    <w:rsid w:val="008E7EB5"/>
    <w:rsid w:val="008F30A8"/>
    <w:rsid w:val="008F3FEB"/>
    <w:rsid w:val="008F686C"/>
    <w:rsid w:val="008F6C05"/>
    <w:rsid w:val="008F721D"/>
    <w:rsid w:val="008F72C3"/>
    <w:rsid w:val="009027C4"/>
    <w:rsid w:val="00904C2C"/>
    <w:rsid w:val="00907376"/>
    <w:rsid w:val="00910F08"/>
    <w:rsid w:val="009122BB"/>
    <w:rsid w:val="00913C60"/>
    <w:rsid w:val="00914FAA"/>
    <w:rsid w:val="009209A0"/>
    <w:rsid w:val="009251C8"/>
    <w:rsid w:val="00930442"/>
    <w:rsid w:val="00931227"/>
    <w:rsid w:val="0093180F"/>
    <w:rsid w:val="00932CE8"/>
    <w:rsid w:val="00941531"/>
    <w:rsid w:val="00943A1F"/>
    <w:rsid w:val="00944658"/>
    <w:rsid w:val="00946C91"/>
    <w:rsid w:val="00947BD0"/>
    <w:rsid w:val="00951853"/>
    <w:rsid w:val="009521E1"/>
    <w:rsid w:val="009544A4"/>
    <w:rsid w:val="009550B1"/>
    <w:rsid w:val="00955649"/>
    <w:rsid w:val="00955FF9"/>
    <w:rsid w:val="0096146C"/>
    <w:rsid w:val="00966F3D"/>
    <w:rsid w:val="0096776A"/>
    <w:rsid w:val="00972490"/>
    <w:rsid w:val="009749F1"/>
    <w:rsid w:val="0097700C"/>
    <w:rsid w:val="0097703A"/>
    <w:rsid w:val="009775B9"/>
    <w:rsid w:val="009777D9"/>
    <w:rsid w:val="00980461"/>
    <w:rsid w:val="00980F0F"/>
    <w:rsid w:val="00981891"/>
    <w:rsid w:val="00984913"/>
    <w:rsid w:val="009849BF"/>
    <w:rsid w:val="00984C3D"/>
    <w:rsid w:val="00991B88"/>
    <w:rsid w:val="009961C3"/>
    <w:rsid w:val="00996E03"/>
    <w:rsid w:val="009A3A33"/>
    <w:rsid w:val="009A50E5"/>
    <w:rsid w:val="009A579D"/>
    <w:rsid w:val="009A7B62"/>
    <w:rsid w:val="009B2F08"/>
    <w:rsid w:val="009B3F53"/>
    <w:rsid w:val="009B587F"/>
    <w:rsid w:val="009B6B2A"/>
    <w:rsid w:val="009C2853"/>
    <w:rsid w:val="009C547E"/>
    <w:rsid w:val="009C5EDF"/>
    <w:rsid w:val="009D1600"/>
    <w:rsid w:val="009D22CB"/>
    <w:rsid w:val="009D233D"/>
    <w:rsid w:val="009D2FD6"/>
    <w:rsid w:val="009D5102"/>
    <w:rsid w:val="009D5793"/>
    <w:rsid w:val="009D61C0"/>
    <w:rsid w:val="009E0356"/>
    <w:rsid w:val="009E2E11"/>
    <w:rsid w:val="009E3297"/>
    <w:rsid w:val="009E4857"/>
    <w:rsid w:val="009F6884"/>
    <w:rsid w:val="009F734F"/>
    <w:rsid w:val="009F738A"/>
    <w:rsid w:val="00A03A2F"/>
    <w:rsid w:val="00A0600A"/>
    <w:rsid w:val="00A0668F"/>
    <w:rsid w:val="00A077A1"/>
    <w:rsid w:val="00A117DE"/>
    <w:rsid w:val="00A12F25"/>
    <w:rsid w:val="00A141A8"/>
    <w:rsid w:val="00A20757"/>
    <w:rsid w:val="00A21023"/>
    <w:rsid w:val="00A246B6"/>
    <w:rsid w:val="00A2634C"/>
    <w:rsid w:val="00A2655F"/>
    <w:rsid w:val="00A267C5"/>
    <w:rsid w:val="00A27CC4"/>
    <w:rsid w:val="00A33B87"/>
    <w:rsid w:val="00A34BC9"/>
    <w:rsid w:val="00A35E7E"/>
    <w:rsid w:val="00A37FE8"/>
    <w:rsid w:val="00A40ACF"/>
    <w:rsid w:val="00A44D38"/>
    <w:rsid w:val="00A44E9D"/>
    <w:rsid w:val="00A45AC7"/>
    <w:rsid w:val="00A465A9"/>
    <w:rsid w:val="00A47E70"/>
    <w:rsid w:val="00A5121D"/>
    <w:rsid w:val="00A51BA9"/>
    <w:rsid w:val="00A52243"/>
    <w:rsid w:val="00A53D3E"/>
    <w:rsid w:val="00A55DFF"/>
    <w:rsid w:val="00A573CD"/>
    <w:rsid w:val="00A60AA1"/>
    <w:rsid w:val="00A61F1A"/>
    <w:rsid w:val="00A72F53"/>
    <w:rsid w:val="00A739DA"/>
    <w:rsid w:val="00A7671C"/>
    <w:rsid w:val="00A80BDE"/>
    <w:rsid w:val="00A81CC1"/>
    <w:rsid w:val="00A84A8A"/>
    <w:rsid w:val="00A84D02"/>
    <w:rsid w:val="00A868A6"/>
    <w:rsid w:val="00A9011D"/>
    <w:rsid w:val="00A90492"/>
    <w:rsid w:val="00A91747"/>
    <w:rsid w:val="00A91FC8"/>
    <w:rsid w:val="00A92AC3"/>
    <w:rsid w:val="00A92C4B"/>
    <w:rsid w:val="00A93443"/>
    <w:rsid w:val="00A93D96"/>
    <w:rsid w:val="00A96BA8"/>
    <w:rsid w:val="00AA4C6B"/>
    <w:rsid w:val="00AA79CC"/>
    <w:rsid w:val="00AB1B0C"/>
    <w:rsid w:val="00AB5082"/>
    <w:rsid w:val="00AB6A74"/>
    <w:rsid w:val="00AC403D"/>
    <w:rsid w:val="00AC4829"/>
    <w:rsid w:val="00AC4AF5"/>
    <w:rsid w:val="00AC4E81"/>
    <w:rsid w:val="00AC5EF4"/>
    <w:rsid w:val="00AD1158"/>
    <w:rsid w:val="00AD1CD8"/>
    <w:rsid w:val="00AD360E"/>
    <w:rsid w:val="00AD48E2"/>
    <w:rsid w:val="00AE2CB1"/>
    <w:rsid w:val="00AE7D3B"/>
    <w:rsid w:val="00AF156C"/>
    <w:rsid w:val="00AF518F"/>
    <w:rsid w:val="00B00F95"/>
    <w:rsid w:val="00B04D98"/>
    <w:rsid w:val="00B052DE"/>
    <w:rsid w:val="00B05894"/>
    <w:rsid w:val="00B064F0"/>
    <w:rsid w:val="00B10EDD"/>
    <w:rsid w:val="00B11D95"/>
    <w:rsid w:val="00B12050"/>
    <w:rsid w:val="00B12EC0"/>
    <w:rsid w:val="00B1474A"/>
    <w:rsid w:val="00B14B81"/>
    <w:rsid w:val="00B15061"/>
    <w:rsid w:val="00B16A27"/>
    <w:rsid w:val="00B22214"/>
    <w:rsid w:val="00B240A8"/>
    <w:rsid w:val="00B24E88"/>
    <w:rsid w:val="00B258BB"/>
    <w:rsid w:val="00B25C53"/>
    <w:rsid w:val="00B36283"/>
    <w:rsid w:val="00B37250"/>
    <w:rsid w:val="00B375F0"/>
    <w:rsid w:val="00B378E8"/>
    <w:rsid w:val="00B4276B"/>
    <w:rsid w:val="00B42E5E"/>
    <w:rsid w:val="00B451D6"/>
    <w:rsid w:val="00B45E16"/>
    <w:rsid w:val="00B46074"/>
    <w:rsid w:val="00B4749F"/>
    <w:rsid w:val="00B50CEC"/>
    <w:rsid w:val="00B5160D"/>
    <w:rsid w:val="00B5382C"/>
    <w:rsid w:val="00B544FF"/>
    <w:rsid w:val="00B56814"/>
    <w:rsid w:val="00B56C11"/>
    <w:rsid w:val="00B60A01"/>
    <w:rsid w:val="00B60A0B"/>
    <w:rsid w:val="00B67B97"/>
    <w:rsid w:val="00B70675"/>
    <w:rsid w:val="00B733BD"/>
    <w:rsid w:val="00B75459"/>
    <w:rsid w:val="00B76CFC"/>
    <w:rsid w:val="00B825F0"/>
    <w:rsid w:val="00B84947"/>
    <w:rsid w:val="00B851EA"/>
    <w:rsid w:val="00B9031A"/>
    <w:rsid w:val="00B907FF"/>
    <w:rsid w:val="00B92C23"/>
    <w:rsid w:val="00B968C8"/>
    <w:rsid w:val="00BA0327"/>
    <w:rsid w:val="00BA11E6"/>
    <w:rsid w:val="00BA153C"/>
    <w:rsid w:val="00BA3EC5"/>
    <w:rsid w:val="00BA5792"/>
    <w:rsid w:val="00BA5D9D"/>
    <w:rsid w:val="00BA5E03"/>
    <w:rsid w:val="00BB02ED"/>
    <w:rsid w:val="00BB26E0"/>
    <w:rsid w:val="00BB2995"/>
    <w:rsid w:val="00BB4ACA"/>
    <w:rsid w:val="00BB5DFC"/>
    <w:rsid w:val="00BB69C2"/>
    <w:rsid w:val="00BC0D95"/>
    <w:rsid w:val="00BC1395"/>
    <w:rsid w:val="00BC544B"/>
    <w:rsid w:val="00BC7904"/>
    <w:rsid w:val="00BD22EB"/>
    <w:rsid w:val="00BD2664"/>
    <w:rsid w:val="00BD279D"/>
    <w:rsid w:val="00BD2DE1"/>
    <w:rsid w:val="00BD3084"/>
    <w:rsid w:val="00BD6BB8"/>
    <w:rsid w:val="00BF0972"/>
    <w:rsid w:val="00BF1537"/>
    <w:rsid w:val="00BF2696"/>
    <w:rsid w:val="00BF3EE0"/>
    <w:rsid w:val="00C100C5"/>
    <w:rsid w:val="00C10E3E"/>
    <w:rsid w:val="00C2179B"/>
    <w:rsid w:val="00C223F1"/>
    <w:rsid w:val="00C22661"/>
    <w:rsid w:val="00C261A5"/>
    <w:rsid w:val="00C32933"/>
    <w:rsid w:val="00C32C1A"/>
    <w:rsid w:val="00C33F3C"/>
    <w:rsid w:val="00C35591"/>
    <w:rsid w:val="00C4329E"/>
    <w:rsid w:val="00C50636"/>
    <w:rsid w:val="00C51098"/>
    <w:rsid w:val="00C51862"/>
    <w:rsid w:val="00C52299"/>
    <w:rsid w:val="00C52752"/>
    <w:rsid w:val="00C569D0"/>
    <w:rsid w:val="00C61D65"/>
    <w:rsid w:val="00C64C3E"/>
    <w:rsid w:val="00C65645"/>
    <w:rsid w:val="00C66A6D"/>
    <w:rsid w:val="00C7052E"/>
    <w:rsid w:val="00C720C9"/>
    <w:rsid w:val="00C816D4"/>
    <w:rsid w:val="00C95985"/>
    <w:rsid w:val="00C95FBA"/>
    <w:rsid w:val="00C97AAD"/>
    <w:rsid w:val="00CA0903"/>
    <w:rsid w:val="00CB41DD"/>
    <w:rsid w:val="00CB6322"/>
    <w:rsid w:val="00CB7FC5"/>
    <w:rsid w:val="00CC34A0"/>
    <w:rsid w:val="00CC34F8"/>
    <w:rsid w:val="00CC5026"/>
    <w:rsid w:val="00CC5D8C"/>
    <w:rsid w:val="00CD156E"/>
    <w:rsid w:val="00CD2C94"/>
    <w:rsid w:val="00CD4C1F"/>
    <w:rsid w:val="00CE4469"/>
    <w:rsid w:val="00CE47C2"/>
    <w:rsid w:val="00CE52AB"/>
    <w:rsid w:val="00CF008C"/>
    <w:rsid w:val="00CF57FF"/>
    <w:rsid w:val="00CF6528"/>
    <w:rsid w:val="00D0182A"/>
    <w:rsid w:val="00D03F9A"/>
    <w:rsid w:val="00D04319"/>
    <w:rsid w:val="00D0497A"/>
    <w:rsid w:val="00D06A95"/>
    <w:rsid w:val="00D10090"/>
    <w:rsid w:val="00D12694"/>
    <w:rsid w:val="00D16D44"/>
    <w:rsid w:val="00D26B22"/>
    <w:rsid w:val="00D27A6B"/>
    <w:rsid w:val="00D32A5D"/>
    <w:rsid w:val="00D32E9A"/>
    <w:rsid w:val="00D4309B"/>
    <w:rsid w:val="00D45820"/>
    <w:rsid w:val="00D46905"/>
    <w:rsid w:val="00D47339"/>
    <w:rsid w:val="00D50632"/>
    <w:rsid w:val="00D50D28"/>
    <w:rsid w:val="00D51C86"/>
    <w:rsid w:val="00D51FF6"/>
    <w:rsid w:val="00D62235"/>
    <w:rsid w:val="00D640BF"/>
    <w:rsid w:val="00D66F25"/>
    <w:rsid w:val="00D73EB7"/>
    <w:rsid w:val="00D74E6B"/>
    <w:rsid w:val="00D75645"/>
    <w:rsid w:val="00D767CC"/>
    <w:rsid w:val="00D813F6"/>
    <w:rsid w:val="00D81D39"/>
    <w:rsid w:val="00D827A3"/>
    <w:rsid w:val="00D875CA"/>
    <w:rsid w:val="00D90AFB"/>
    <w:rsid w:val="00DA39E8"/>
    <w:rsid w:val="00DA4901"/>
    <w:rsid w:val="00DA567A"/>
    <w:rsid w:val="00DA598F"/>
    <w:rsid w:val="00DA5D6C"/>
    <w:rsid w:val="00DA71FB"/>
    <w:rsid w:val="00DB00D1"/>
    <w:rsid w:val="00DB1D46"/>
    <w:rsid w:val="00DB3DCC"/>
    <w:rsid w:val="00DB4BFD"/>
    <w:rsid w:val="00DB680D"/>
    <w:rsid w:val="00DB6B00"/>
    <w:rsid w:val="00DB6B5D"/>
    <w:rsid w:val="00DB6FEE"/>
    <w:rsid w:val="00DB73E9"/>
    <w:rsid w:val="00DC1AF4"/>
    <w:rsid w:val="00DC371C"/>
    <w:rsid w:val="00DC4202"/>
    <w:rsid w:val="00DC4B04"/>
    <w:rsid w:val="00DC4BC2"/>
    <w:rsid w:val="00DC61F2"/>
    <w:rsid w:val="00DC62BF"/>
    <w:rsid w:val="00DC676E"/>
    <w:rsid w:val="00DC6BC2"/>
    <w:rsid w:val="00DC6BC9"/>
    <w:rsid w:val="00DD5FD5"/>
    <w:rsid w:val="00DD76EB"/>
    <w:rsid w:val="00DD7FFA"/>
    <w:rsid w:val="00DE34CF"/>
    <w:rsid w:val="00DE3971"/>
    <w:rsid w:val="00DE6981"/>
    <w:rsid w:val="00DF0C4F"/>
    <w:rsid w:val="00DF1992"/>
    <w:rsid w:val="00DF39F1"/>
    <w:rsid w:val="00DF51FA"/>
    <w:rsid w:val="00DF6D6B"/>
    <w:rsid w:val="00E01E41"/>
    <w:rsid w:val="00E026BA"/>
    <w:rsid w:val="00E04EA6"/>
    <w:rsid w:val="00E0665A"/>
    <w:rsid w:val="00E067DE"/>
    <w:rsid w:val="00E11CC2"/>
    <w:rsid w:val="00E12D5F"/>
    <w:rsid w:val="00E130C4"/>
    <w:rsid w:val="00E15B45"/>
    <w:rsid w:val="00E20C54"/>
    <w:rsid w:val="00E211F5"/>
    <w:rsid w:val="00E226E0"/>
    <w:rsid w:val="00E22AF3"/>
    <w:rsid w:val="00E334D3"/>
    <w:rsid w:val="00E36D15"/>
    <w:rsid w:val="00E37F2C"/>
    <w:rsid w:val="00E40129"/>
    <w:rsid w:val="00E4300F"/>
    <w:rsid w:val="00E4456E"/>
    <w:rsid w:val="00E469F0"/>
    <w:rsid w:val="00E47C93"/>
    <w:rsid w:val="00E5191A"/>
    <w:rsid w:val="00E53159"/>
    <w:rsid w:val="00E5507B"/>
    <w:rsid w:val="00E61B14"/>
    <w:rsid w:val="00E649EF"/>
    <w:rsid w:val="00E6578B"/>
    <w:rsid w:val="00E66E34"/>
    <w:rsid w:val="00E710A7"/>
    <w:rsid w:val="00E71C53"/>
    <w:rsid w:val="00E720B7"/>
    <w:rsid w:val="00E720FB"/>
    <w:rsid w:val="00E74A95"/>
    <w:rsid w:val="00E761DD"/>
    <w:rsid w:val="00E766E6"/>
    <w:rsid w:val="00E77F92"/>
    <w:rsid w:val="00E81DE2"/>
    <w:rsid w:val="00E82C1C"/>
    <w:rsid w:val="00E846E0"/>
    <w:rsid w:val="00E8543B"/>
    <w:rsid w:val="00E872BB"/>
    <w:rsid w:val="00E9399D"/>
    <w:rsid w:val="00E9516A"/>
    <w:rsid w:val="00E9727E"/>
    <w:rsid w:val="00EA107B"/>
    <w:rsid w:val="00EA2B67"/>
    <w:rsid w:val="00EA4A84"/>
    <w:rsid w:val="00EA52FB"/>
    <w:rsid w:val="00EB1F8E"/>
    <w:rsid w:val="00EB3439"/>
    <w:rsid w:val="00EB570D"/>
    <w:rsid w:val="00EB6A1A"/>
    <w:rsid w:val="00EC133B"/>
    <w:rsid w:val="00EC1704"/>
    <w:rsid w:val="00EC3478"/>
    <w:rsid w:val="00ED275F"/>
    <w:rsid w:val="00ED6174"/>
    <w:rsid w:val="00ED6E06"/>
    <w:rsid w:val="00ED70F0"/>
    <w:rsid w:val="00EE3CBD"/>
    <w:rsid w:val="00EE6AA4"/>
    <w:rsid w:val="00EE7D7C"/>
    <w:rsid w:val="00EF15FA"/>
    <w:rsid w:val="00EF23BB"/>
    <w:rsid w:val="00EF739E"/>
    <w:rsid w:val="00F01CD9"/>
    <w:rsid w:val="00F058EC"/>
    <w:rsid w:val="00F07A7C"/>
    <w:rsid w:val="00F07EDA"/>
    <w:rsid w:val="00F07F39"/>
    <w:rsid w:val="00F1204C"/>
    <w:rsid w:val="00F15EB0"/>
    <w:rsid w:val="00F16B28"/>
    <w:rsid w:val="00F21276"/>
    <w:rsid w:val="00F21AA7"/>
    <w:rsid w:val="00F25D98"/>
    <w:rsid w:val="00F2734F"/>
    <w:rsid w:val="00F300FB"/>
    <w:rsid w:val="00F30B35"/>
    <w:rsid w:val="00F31303"/>
    <w:rsid w:val="00F31C51"/>
    <w:rsid w:val="00F33033"/>
    <w:rsid w:val="00F3494E"/>
    <w:rsid w:val="00F357AA"/>
    <w:rsid w:val="00F36B03"/>
    <w:rsid w:val="00F4098F"/>
    <w:rsid w:val="00F44208"/>
    <w:rsid w:val="00F44F9A"/>
    <w:rsid w:val="00F5166D"/>
    <w:rsid w:val="00F577F8"/>
    <w:rsid w:val="00F61778"/>
    <w:rsid w:val="00F61C93"/>
    <w:rsid w:val="00F620EC"/>
    <w:rsid w:val="00F62A9A"/>
    <w:rsid w:val="00F62E10"/>
    <w:rsid w:val="00F632D3"/>
    <w:rsid w:val="00F64300"/>
    <w:rsid w:val="00F64E86"/>
    <w:rsid w:val="00F6509A"/>
    <w:rsid w:val="00F65635"/>
    <w:rsid w:val="00F66C52"/>
    <w:rsid w:val="00F674DD"/>
    <w:rsid w:val="00F71023"/>
    <w:rsid w:val="00F7192D"/>
    <w:rsid w:val="00F73719"/>
    <w:rsid w:val="00F76B87"/>
    <w:rsid w:val="00F76BD4"/>
    <w:rsid w:val="00F8001E"/>
    <w:rsid w:val="00F862B6"/>
    <w:rsid w:val="00F903FC"/>
    <w:rsid w:val="00F92E62"/>
    <w:rsid w:val="00F9571D"/>
    <w:rsid w:val="00F9588E"/>
    <w:rsid w:val="00F95ABD"/>
    <w:rsid w:val="00F96860"/>
    <w:rsid w:val="00F968DC"/>
    <w:rsid w:val="00F97009"/>
    <w:rsid w:val="00FA0E32"/>
    <w:rsid w:val="00FA12BA"/>
    <w:rsid w:val="00FA2FBC"/>
    <w:rsid w:val="00FA3152"/>
    <w:rsid w:val="00FA5551"/>
    <w:rsid w:val="00FA6718"/>
    <w:rsid w:val="00FA6E5E"/>
    <w:rsid w:val="00FB410A"/>
    <w:rsid w:val="00FB6386"/>
    <w:rsid w:val="00FB7ED0"/>
    <w:rsid w:val="00FC093E"/>
    <w:rsid w:val="00FC3AB3"/>
    <w:rsid w:val="00FC58CA"/>
    <w:rsid w:val="00FC5E84"/>
    <w:rsid w:val="00FC69EE"/>
    <w:rsid w:val="00FC7228"/>
    <w:rsid w:val="00FD193D"/>
    <w:rsid w:val="00FD1D43"/>
    <w:rsid w:val="00FD239F"/>
    <w:rsid w:val="00FE0ACB"/>
    <w:rsid w:val="00FE11DF"/>
    <w:rsid w:val="00FE3353"/>
    <w:rsid w:val="00FE3E1E"/>
    <w:rsid w:val="00FE68DE"/>
    <w:rsid w:val="00FF0B13"/>
    <w:rsid w:val="0116565B"/>
    <w:rsid w:val="01334A93"/>
    <w:rsid w:val="013B6B94"/>
    <w:rsid w:val="014165F9"/>
    <w:rsid w:val="01422E3E"/>
    <w:rsid w:val="01465277"/>
    <w:rsid w:val="01553A50"/>
    <w:rsid w:val="01793796"/>
    <w:rsid w:val="017B3DC2"/>
    <w:rsid w:val="017C38F4"/>
    <w:rsid w:val="018954A1"/>
    <w:rsid w:val="018E1FFD"/>
    <w:rsid w:val="01952AED"/>
    <w:rsid w:val="01B37CCA"/>
    <w:rsid w:val="01CC2AE1"/>
    <w:rsid w:val="01D676C7"/>
    <w:rsid w:val="01EB7E85"/>
    <w:rsid w:val="02190CE0"/>
    <w:rsid w:val="02287A03"/>
    <w:rsid w:val="023A5346"/>
    <w:rsid w:val="02492A54"/>
    <w:rsid w:val="025A1B0F"/>
    <w:rsid w:val="0260233F"/>
    <w:rsid w:val="02651099"/>
    <w:rsid w:val="02697E14"/>
    <w:rsid w:val="027A4D5F"/>
    <w:rsid w:val="028E2A53"/>
    <w:rsid w:val="02925533"/>
    <w:rsid w:val="02A80F00"/>
    <w:rsid w:val="02AB5A5C"/>
    <w:rsid w:val="02B3177F"/>
    <w:rsid w:val="02B95D01"/>
    <w:rsid w:val="02CC1E23"/>
    <w:rsid w:val="02DB3109"/>
    <w:rsid w:val="02E03771"/>
    <w:rsid w:val="02E76FC8"/>
    <w:rsid w:val="02E95A3F"/>
    <w:rsid w:val="031B5733"/>
    <w:rsid w:val="032A1991"/>
    <w:rsid w:val="032F1769"/>
    <w:rsid w:val="033B7B64"/>
    <w:rsid w:val="03574A5E"/>
    <w:rsid w:val="036938E2"/>
    <w:rsid w:val="037B5FC4"/>
    <w:rsid w:val="039238F9"/>
    <w:rsid w:val="039F5B47"/>
    <w:rsid w:val="03D66653"/>
    <w:rsid w:val="03DF3200"/>
    <w:rsid w:val="042B78E5"/>
    <w:rsid w:val="044C2B86"/>
    <w:rsid w:val="04AD2CEE"/>
    <w:rsid w:val="04B02FC5"/>
    <w:rsid w:val="04EA0513"/>
    <w:rsid w:val="04F272C4"/>
    <w:rsid w:val="05045453"/>
    <w:rsid w:val="05086C6C"/>
    <w:rsid w:val="051C4644"/>
    <w:rsid w:val="052D37B5"/>
    <w:rsid w:val="052E3ABF"/>
    <w:rsid w:val="053F0838"/>
    <w:rsid w:val="057259C8"/>
    <w:rsid w:val="057F3E81"/>
    <w:rsid w:val="05874BB9"/>
    <w:rsid w:val="058768C8"/>
    <w:rsid w:val="058B68E9"/>
    <w:rsid w:val="05A344ED"/>
    <w:rsid w:val="05C1477A"/>
    <w:rsid w:val="05D0364B"/>
    <w:rsid w:val="06011015"/>
    <w:rsid w:val="060D4363"/>
    <w:rsid w:val="061C1121"/>
    <w:rsid w:val="06224E92"/>
    <w:rsid w:val="06414847"/>
    <w:rsid w:val="064C3314"/>
    <w:rsid w:val="0650017F"/>
    <w:rsid w:val="065844A5"/>
    <w:rsid w:val="06641D21"/>
    <w:rsid w:val="068D4DF3"/>
    <w:rsid w:val="069474D3"/>
    <w:rsid w:val="06977381"/>
    <w:rsid w:val="06AE64D4"/>
    <w:rsid w:val="06B0564D"/>
    <w:rsid w:val="06CD76B4"/>
    <w:rsid w:val="06E00CBF"/>
    <w:rsid w:val="06F14FBF"/>
    <w:rsid w:val="07325F56"/>
    <w:rsid w:val="074F62E3"/>
    <w:rsid w:val="076F30EC"/>
    <w:rsid w:val="077112B8"/>
    <w:rsid w:val="077359A4"/>
    <w:rsid w:val="079C6727"/>
    <w:rsid w:val="07A35042"/>
    <w:rsid w:val="07ED612A"/>
    <w:rsid w:val="08087C44"/>
    <w:rsid w:val="080B795A"/>
    <w:rsid w:val="083077A9"/>
    <w:rsid w:val="08476EB2"/>
    <w:rsid w:val="084B7A54"/>
    <w:rsid w:val="08526E8C"/>
    <w:rsid w:val="085E7FDF"/>
    <w:rsid w:val="0865285F"/>
    <w:rsid w:val="088272C5"/>
    <w:rsid w:val="0888709F"/>
    <w:rsid w:val="08984621"/>
    <w:rsid w:val="08B903AB"/>
    <w:rsid w:val="08D0241B"/>
    <w:rsid w:val="08E75D77"/>
    <w:rsid w:val="09017F35"/>
    <w:rsid w:val="09110AA6"/>
    <w:rsid w:val="09135B05"/>
    <w:rsid w:val="091938ED"/>
    <w:rsid w:val="092E56FE"/>
    <w:rsid w:val="0953232D"/>
    <w:rsid w:val="096F23FD"/>
    <w:rsid w:val="09A57CE7"/>
    <w:rsid w:val="09A8447B"/>
    <w:rsid w:val="09B32048"/>
    <w:rsid w:val="09BC7EF0"/>
    <w:rsid w:val="09C646FF"/>
    <w:rsid w:val="09D275F6"/>
    <w:rsid w:val="09EA753A"/>
    <w:rsid w:val="09F53A0C"/>
    <w:rsid w:val="0A02630B"/>
    <w:rsid w:val="0A163BD7"/>
    <w:rsid w:val="0A2E6E3C"/>
    <w:rsid w:val="0A704741"/>
    <w:rsid w:val="0A831DC6"/>
    <w:rsid w:val="0A8F244E"/>
    <w:rsid w:val="0AA00656"/>
    <w:rsid w:val="0AB8494C"/>
    <w:rsid w:val="0ACB6618"/>
    <w:rsid w:val="0AD67FCB"/>
    <w:rsid w:val="0AD84C2E"/>
    <w:rsid w:val="0AE20046"/>
    <w:rsid w:val="0AE55966"/>
    <w:rsid w:val="0B27610C"/>
    <w:rsid w:val="0B36212C"/>
    <w:rsid w:val="0B3E7C8F"/>
    <w:rsid w:val="0B5243EE"/>
    <w:rsid w:val="0B6709D2"/>
    <w:rsid w:val="0B6C1FBB"/>
    <w:rsid w:val="0B8E67B9"/>
    <w:rsid w:val="0BCF123A"/>
    <w:rsid w:val="0BDD15AF"/>
    <w:rsid w:val="0BEA1294"/>
    <w:rsid w:val="0BEB75B4"/>
    <w:rsid w:val="0BFB289F"/>
    <w:rsid w:val="0C044832"/>
    <w:rsid w:val="0C0B6860"/>
    <w:rsid w:val="0C542D3F"/>
    <w:rsid w:val="0C563DC7"/>
    <w:rsid w:val="0C6A7F83"/>
    <w:rsid w:val="0CA3032E"/>
    <w:rsid w:val="0CB910E3"/>
    <w:rsid w:val="0CC931CC"/>
    <w:rsid w:val="0CD4257F"/>
    <w:rsid w:val="0CE45C2D"/>
    <w:rsid w:val="0CEB3C8E"/>
    <w:rsid w:val="0CF67366"/>
    <w:rsid w:val="0CF91ADE"/>
    <w:rsid w:val="0D00572A"/>
    <w:rsid w:val="0D07058F"/>
    <w:rsid w:val="0D1D48CA"/>
    <w:rsid w:val="0D207F55"/>
    <w:rsid w:val="0D4E345E"/>
    <w:rsid w:val="0D4F268F"/>
    <w:rsid w:val="0D671775"/>
    <w:rsid w:val="0D6A7E62"/>
    <w:rsid w:val="0D80793A"/>
    <w:rsid w:val="0D833349"/>
    <w:rsid w:val="0D92465F"/>
    <w:rsid w:val="0DA05B46"/>
    <w:rsid w:val="0DB5288E"/>
    <w:rsid w:val="0DC9662C"/>
    <w:rsid w:val="0DCC6DCE"/>
    <w:rsid w:val="0DE9551D"/>
    <w:rsid w:val="0DED2D4F"/>
    <w:rsid w:val="0DF16E15"/>
    <w:rsid w:val="0E1956FB"/>
    <w:rsid w:val="0E397B16"/>
    <w:rsid w:val="0E476CD5"/>
    <w:rsid w:val="0E5C34D4"/>
    <w:rsid w:val="0E6E0C1C"/>
    <w:rsid w:val="0E791753"/>
    <w:rsid w:val="0E8B3BAB"/>
    <w:rsid w:val="0E977D17"/>
    <w:rsid w:val="0EA77F99"/>
    <w:rsid w:val="0EA9115B"/>
    <w:rsid w:val="0EAC6051"/>
    <w:rsid w:val="0EAD708A"/>
    <w:rsid w:val="0EC67A9C"/>
    <w:rsid w:val="0EEA4768"/>
    <w:rsid w:val="0F0543FF"/>
    <w:rsid w:val="0F181F65"/>
    <w:rsid w:val="0F335929"/>
    <w:rsid w:val="0F3F579F"/>
    <w:rsid w:val="0F5149FF"/>
    <w:rsid w:val="0F633885"/>
    <w:rsid w:val="0F8275F5"/>
    <w:rsid w:val="0FBD6886"/>
    <w:rsid w:val="0FC70464"/>
    <w:rsid w:val="0FD40691"/>
    <w:rsid w:val="0FD91836"/>
    <w:rsid w:val="0FDA27B4"/>
    <w:rsid w:val="0FEC4607"/>
    <w:rsid w:val="0FF179FE"/>
    <w:rsid w:val="100774EC"/>
    <w:rsid w:val="100A15AE"/>
    <w:rsid w:val="100B12F1"/>
    <w:rsid w:val="100D4F05"/>
    <w:rsid w:val="101C0264"/>
    <w:rsid w:val="101F17E8"/>
    <w:rsid w:val="102146F4"/>
    <w:rsid w:val="10B22ED0"/>
    <w:rsid w:val="10B26C94"/>
    <w:rsid w:val="10B873A1"/>
    <w:rsid w:val="10CE6072"/>
    <w:rsid w:val="10E73B12"/>
    <w:rsid w:val="110345E1"/>
    <w:rsid w:val="110A6E79"/>
    <w:rsid w:val="11411292"/>
    <w:rsid w:val="114178FA"/>
    <w:rsid w:val="114E7F96"/>
    <w:rsid w:val="114F4150"/>
    <w:rsid w:val="11596F41"/>
    <w:rsid w:val="117253A5"/>
    <w:rsid w:val="117E4216"/>
    <w:rsid w:val="117F09C3"/>
    <w:rsid w:val="11877D38"/>
    <w:rsid w:val="11AC656A"/>
    <w:rsid w:val="11BC291A"/>
    <w:rsid w:val="11C63851"/>
    <w:rsid w:val="11C92CE7"/>
    <w:rsid w:val="11D22F76"/>
    <w:rsid w:val="11DD1CB9"/>
    <w:rsid w:val="11E371C3"/>
    <w:rsid w:val="11E920A5"/>
    <w:rsid w:val="11FC5D4B"/>
    <w:rsid w:val="121D3C02"/>
    <w:rsid w:val="122D4C2E"/>
    <w:rsid w:val="123C6002"/>
    <w:rsid w:val="12675047"/>
    <w:rsid w:val="126D540A"/>
    <w:rsid w:val="1284465E"/>
    <w:rsid w:val="128F5AEF"/>
    <w:rsid w:val="12913B4F"/>
    <w:rsid w:val="129C3422"/>
    <w:rsid w:val="12A32BB8"/>
    <w:rsid w:val="12AC75B0"/>
    <w:rsid w:val="12BD63A7"/>
    <w:rsid w:val="12C10072"/>
    <w:rsid w:val="12ED0B1D"/>
    <w:rsid w:val="12F55743"/>
    <w:rsid w:val="131F4D3C"/>
    <w:rsid w:val="13227EB4"/>
    <w:rsid w:val="13672085"/>
    <w:rsid w:val="136D48E4"/>
    <w:rsid w:val="137F6B4E"/>
    <w:rsid w:val="138C4B1A"/>
    <w:rsid w:val="138F1663"/>
    <w:rsid w:val="13A6259D"/>
    <w:rsid w:val="13B019BC"/>
    <w:rsid w:val="13D53783"/>
    <w:rsid w:val="13D75B91"/>
    <w:rsid w:val="13D77378"/>
    <w:rsid w:val="13EF5EB8"/>
    <w:rsid w:val="1424786D"/>
    <w:rsid w:val="144132F0"/>
    <w:rsid w:val="14613AF2"/>
    <w:rsid w:val="14623212"/>
    <w:rsid w:val="14670A1F"/>
    <w:rsid w:val="149026C2"/>
    <w:rsid w:val="14A32A25"/>
    <w:rsid w:val="14B52236"/>
    <w:rsid w:val="14D51EF9"/>
    <w:rsid w:val="14EE632A"/>
    <w:rsid w:val="1502718D"/>
    <w:rsid w:val="15320C6A"/>
    <w:rsid w:val="153D75FE"/>
    <w:rsid w:val="15411B3C"/>
    <w:rsid w:val="1541323C"/>
    <w:rsid w:val="15554E8C"/>
    <w:rsid w:val="155558D3"/>
    <w:rsid w:val="155B0235"/>
    <w:rsid w:val="155E5AF7"/>
    <w:rsid w:val="15611032"/>
    <w:rsid w:val="15643EDB"/>
    <w:rsid w:val="15C00BEF"/>
    <w:rsid w:val="15DC12C2"/>
    <w:rsid w:val="15EF2443"/>
    <w:rsid w:val="15F3547F"/>
    <w:rsid w:val="15F5490A"/>
    <w:rsid w:val="1631493C"/>
    <w:rsid w:val="163813FD"/>
    <w:rsid w:val="16676BB8"/>
    <w:rsid w:val="166A5A13"/>
    <w:rsid w:val="16782B9D"/>
    <w:rsid w:val="167B6DE1"/>
    <w:rsid w:val="16902EF3"/>
    <w:rsid w:val="16A94DAA"/>
    <w:rsid w:val="16BB21F7"/>
    <w:rsid w:val="16EE7C46"/>
    <w:rsid w:val="16EF250C"/>
    <w:rsid w:val="16F0440C"/>
    <w:rsid w:val="17214331"/>
    <w:rsid w:val="172216AC"/>
    <w:rsid w:val="176577A9"/>
    <w:rsid w:val="17816063"/>
    <w:rsid w:val="179154C2"/>
    <w:rsid w:val="17AB061D"/>
    <w:rsid w:val="17B040DF"/>
    <w:rsid w:val="17BE084D"/>
    <w:rsid w:val="17EB70E5"/>
    <w:rsid w:val="17EF73D1"/>
    <w:rsid w:val="1806706F"/>
    <w:rsid w:val="180E40E0"/>
    <w:rsid w:val="180F7B59"/>
    <w:rsid w:val="18286E0A"/>
    <w:rsid w:val="18623896"/>
    <w:rsid w:val="1867354D"/>
    <w:rsid w:val="18696320"/>
    <w:rsid w:val="18950623"/>
    <w:rsid w:val="189858B1"/>
    <w:rsid w:val="18C637F7"/>
    <w:rsid w:val="18E17CCD"/>
    <w:rsid w:val="19023A9A"/>
    <w:rsid w:val="190C2D3B"/>
    <w:rsid w:val="191149A4"/>
    <w:rsid w:val="19173E8D"/>
    <w:rsid w:val="195726D7"/>
    <w:rsid w:val="195C2AD4"/>
    <w:rsid w:val="196C0984"/>
    <w:rsid w:val="1975006A"/>
    <w:rsid w:val="197B7442"/>
    <w:rsid w:val="19916656"/>
    <w:rsid w:val="19AC1C40"/>
    <w:rsid w:val="19B23C87"/>
    <w:rsid w:val="19D126A9"/>
    <w:rsid w:val="19DF7BF4"/>
    <w:rsid w:val="19EC0BB3"/>
    <w:rsid w:val="19F716B1"/>
    <w:rsid w:val="1A2A0E29"/>
    <w:rsid w:val="1A450C02"/>
    <w:rsid w:val="1A580FB6"/>
    <w:rsid w:val="1A605B37"/>
    <w:rsid w:val="1A6D2000"/>
    <w:rsid w:val="1A8B6640"/>
    <w:rsid w:val="1A9466FE"/>
    <w:rsid w:val="1A996A94"/>
    <w:rsid w:val="1AAA4422"/>
    <w:rsid w:val="1ADF5793"/>
    <w:rsid w:val="1B1F629E"/>
    <w:rsid w:val="1B4C0BD2"/>
    <w:rsid w:val="1B4D57FB"/>
    <w:rsid w:val="1B720883"/>
    <w:rsid w:val="1B7F56C7"/>
    <w:rsid w:val="1B8D3BA5"/>
    <w:rsid w:val="1B974543"/>
    <w:rsid w:val="1B9C1993"/>
    <w:rsid w:val="1BAB7376"/>
    <w:rsid w:val="1BAD2BD1"/>
    <w:rsid w:val="1BB86EE1"/>
    <w:rsid w:val="1BBE5D69"/>
    <w:rsid w:val="1BC96E5B"/>
    <w:rsid w:val="1BE844B2"/>
    <w:rsid w:val="1C29680E"/>
    <w:rsid w:val="1C345EF8"/>
    <w:rsid w:val="1C3E5F8B"/>
    <w:rsid w:val="1C4E0597"/>
    <w:rsid w:val="1C5856B4"/>
    <w:rsid w:val="1C6016CD"/>
    <w:rsid w:val="1C631C29"/>
    <w:rsid w:val="1C967310"/>
    <w:rsid w:val="1CA4248C"/>
    <w:rsid w:val="1CA75070"/>
    <w:rsid w:val="1CAC0438"/>
    <w:rsid w:val="1CB23E58"/>
    <w:rsid w:val="1CCE77A8"/>
    <w:rsid w:val="1CD50BA3"/>
    <w:rsid w:val="1CFC6820"/>
    <w:rsid w:val="1D0A08DD"/>
    <w:rsid w:val="1D1656E4"/>
    <w:rsid w:val="1D232FE5"/>
    <w:rsid w:val="1D285B4A"/>
    <w:rsid w:val="1D30605C"/>
    <w:rsid w:val="1D3340D8"/>
    <w:rsid w:val="1D4B520F"/>
    <w:rsid w:val="1D594704"/>
    <w:rsid w:val="1D6A0130"/>
    <w:rsid w:val="1D894748"/>
    <w:rsid w:val="1DA91B29"/>
    <w:rsid w:val="1DA92E09"/>
    <w:rsid w:val="1DD23B9F"/>
    <w:rsid w:val="1DE7354B"/>
    <w:rsid w:val="1DF30AF7"/>
    <w:rsid w:val="1E161123"/>
    <w:rsid w:val="1E2B18DA"/>
    <w:rsid w:val="1E3507C0"/>
    <w:rsid w:val="1E3F300B"/>
    <w:rsid w:val="1EA561BC"/>
    <w:rsid w:val="1EAF3C09"/>
    <w:rsid w:val="1ECC4986"/>
    <w:rsid w:val="1EEC1B19"/>
    <w:rsid w:val="1EFB3A2E"/>
    <w:rsid w:val="1F0930EA"/>
    <w:rsid w:val="1F106456"/>
    <w:rsid w:val="1F191CBB"/>
    <w:rsid w:val="1F1A449F"/>
    <w:rsid w:val="1F21060F"/>
    <w:rsid w:val="1F284F05"/>
    <w:rsid w:val="1F2B40C3"/>
    <w:rsid w:val="1F4C0770"/>
    <w:rsid w:val="1F5F4A53"/>
    <w:rsid w:val="1F645D85"/>
    <w:rsid w:val="1F712AC1"/>
    <w:rsid w:val="1FAD4471"/>
    <w:rsid w:val="1FB650E5"/>
    <w:rsid w:val="1FDB07D5"/>
    <w:rsid w:val="1FDE7F56"/>
    <w:rsid w:val="200D4F6F"/>
    <w:rsid w:val="20246E63"/>
    <w:rsid w:val="20283C4C"/>
    <w:rsid w:val="20461FEC"/>
    <w:rsid w:val="20560F0C"/>
    <w:rsid w:val="207276F4"/>
    <w:rsid w:val="20875FE5"/>
    <w:rsid w:val="208F6A7F"/>
    <w:rsid w:val="20A93463"/>
    <w:rsid w:val="20C22845"/>
    <w:rsid w:val="20C93BFC"/>
    <w:rsid w:val="20D01F43"/>
    <w:rsid w:val="20DC3D72"/>
    <w:rsid w:val="20DC62B0"/>
    <w:rsid w:val="20DF090B"/>
    <w:rsid w:val="20E423BC"/>
    <w:rsid w:val="210E3192"/>
    <w:rsid w:val="2112629C"/>
    <w:rsid w:val="213A21CA"/>
    <w:rsid w:val="213C36B8"/>
    <w:rsid w:val="218F7534"/>
    <w:rsid w:val="219B6EA2"/>
    <w:rsid w:val="219E0FAB"/>
    <w:rsid w:val="219E261C"/>
    <w:rsid w:val="21AE6EC0"/>
    <w:rsid w:val="21B04089"/>
    <w:rsid w:val="21B46E21"/>
    <w:rsid w:val="21B77CA1"/>
    <w:rsid w:val="21EF6CBE"/>
    <w:rsid w:val="221765FD"/>
    <w:rsid w:val="22244664"/>
    <w:rsid w:val="222F24A3"/>
    <w:rsid w:val="22410A34"/>
    <w:rsid w:val="2245775E"/>
    <w:rsid w:val="22476FA4"/>
    <w:rsid w:val="224F6352"/>
    <w:rsid w:val="227201E0"/>
    <w:rsid w:val="22953D8F"/>
    <w:rsid w:val="22A45235"/>
    <w:rsid w:val="22AC6E42"/>
    <w:rsid w:val="22B3208C"/>
    <w:rsid w:val="22C87D25"/>
    <w:rsid w:val="22DC7F3F"/>
    <w:rsid w:val="22E277E1"/>
    <w:rsid w:val="22F32610"/>
    <w:rsid w:val="22F77ADF"/>
    <w:rsid w:val="22FC07B1"/>
    <w:rsid w:val="231646EC"/>
    <w:rsid w:val="234E4B72"/>
    <w:rsid w:val="23553CAE"/>
    <w:rsid w:val="23607DE1"/>
    <w:rsid w:val="236514F3"/>
    <w:rsid w:val="2375037B"/>
    <w:rsid w:val="237A4000"/>
    <w:rsid w:val="237C144C"/>
    <w:rsid w:val="239E4D87"/>
    <w:rsid w:val="239F49BC"/>
    <w:rsid w:val="23A9654D"/>
    <w:rsid w:val="23B10F6A"/>
    <w:rsid w:val="23BC216D"/>
    <w:rsid w:val="23D4708E"/>
    <w:rsid w:val="23DA4335"/>
    <w:rsid w:val="23E5533E"/>
    <w:rsid w:val="240B05DB"/>
    <w:rsid w:val="2420353E"/>
    <w:rsid w:val="243E1AA0"/>
    <w:rsid w:val="245A473D"/>
    <w:rsid w:val="245B2A95"/>
    <w:rsid w:val="245E10D3"/>
    <w:rsid w:val="24667947"/>
    <w:rsid w:val="246F67A7"/>
    <w:rsid w:val="24750F1F"/>
    <w:rsid w:val="247514CE"/>
    <w:rsid w:val="247D7F39"/>
    <w:rsid w:val="24985B8F"/>
    <w:rsid w:val="24A36986"/>
    <w:rsid w:val="25197B83"/>
    <w:rsid w:val="251C775A"/>
    <w:rsid w:val="25346873"/>
    <w:rsid w:val="25440E86"/>
    <w:rsid w:val="254D7655"/>
    <w:rsid w:val="25564924"/>
    <w:rsid w:val="25590D43"/>
    <w:rsid w:val="25693B21"/>
    <w:rsid w:val="256F1D0F"/>
    <w:rsid w:val="257E34BC"/>
    <w:rsid w:val="258F56CA"/>
    <w:rsid w:val="25B25F7B"/>
    <w:rsid w:val="25CD10F7"/>
    <w:rsid w:val="25D61396"/>
    <w:rsid w:val="25DD7069"/>
    <w:rsid w:val="25E608C0"/>
    <w:rsid w:val="26074601"/>
    <w:rsid w:val="26107E06"/>
    <w:rsid w:val="261C6AB8"/>
    <w:rsid w:val="262E378A"/>
    <w:rsid w:val="2649473C"/>
    <w:rsid w:val="26584AA3"/>
    <w:rsid w:val="268B6421"/>
    <w:rsid w:val="26900D01"/>
    <w:rsid w:val="269B12C6"/>
    <w:rsid w:val="26A003AB"/>
    <w:rsid w:val="26BA4B32"/>
    <w:rsid w:val="26FD5FE6"/>
    <w:rsid w:val="27205671"/>
    <w:rsid w:val="27313117"/>
    <w:rsid w:val="27386D2D"/>
    <w:rsid w:val="27532FC2"/>
    <w:rsid w:val="27562CBB"/>
    <w:rsid w:val="27800344"/>
    <w:rsid w:val="2782586E"/>
    <w:rsid w:val="27A002A9"/>
    <w:rsid w:val="27B57FAB"/>
    <w:rsid w:val="27C87AA8"/>
    <w:rsid w:val="27F23289"/>
    <w:rsid w:val="27FE061E"/>
    <w:rsid w:val="2816794A"/>
    <w:rsid w:val="2822572C"/>
    <w:rsid w:val="28436E83"/>
    <w:rsid w:val="28584AF4"/>
    <w:rsid w:val="286E0CE3"/>
    <w:rsid w:val="28800919"/>
    <w:rsid w:val="28816AD0"/>
    <w:rsid w:val="28A71E3F"/>
    <w:rsid w:val="28C67705"/>
    <w:rsid w:val="28E14743"/>
    <w:rsid w:val="28E51C4E"/>
    <w:rsid w:val="29105500"/>
    <w:rsid w:val="291600B9"/>
    <w:rsid w:val="2935437B"/>
    <w:rsid w:val="2941694A"/>
    <w:rsid w:val="295855D2"/>
    <w:rsid w:val="295A35B6"/>
    <w:rsid w:val="297C1AC6"/>
    <w:rsid w:val="29802C97"/>
    <w:rsid w:val="298336D9"/>
    <w:rsid w:val="298E2BAB"/>
    <w:rsid w:val="29931B06"/>
    <w:rsid w:val="29A71E09"/>
    <w:rsid w:val="29AD6A60"/>
    <w:rsid w:val="29CA18BD"/>
    <w:rsid w:val="29CC4C92"/>
    <w:rsid w:val="29CD69C6"/>
    <w:rsid w:val="29E338AE"/>
    <w:rsid w:val="29E36BDE"/>
    <w:rsid w:val="29FF35DB"/>
    <w:rsid w:val="29FF7D12"/>
    <w:rsid w:val="2A0F5940"/>
    <w:rsid w:val="2A2F142A"/>
    <w:rsid w:val="2A4A1C41"/>
    <w:rsid w:val="2A693188"/>
    <w:rsid w:val="2A6A1C32"/>
    <w:rsid w:val="2A703379"/>
    <w:rsid w:val="2A771E01"/>
    <w:rsid w:val="2A82596F"/>
    <w:rsid w:val="2A8A3036"/>
    <w:rsid w:val="2A8B10E8"/>
    <w:rsid w:val="2A91096B"/>
    <w:rsid w:val="2AA95200"/>
    <w:rsid w:val="2AC07BD5"/>
    <w:rsid w:val="2ACB461F"/>
    <w:rsid w:val="2ADB4FFE"/>
    <w:rsid w:val="2AFB5D59"/>
    <w:rsid w:val="2B0B447A"/>
    <w:rsid w:val="2B237859"/>
    <w:rsid w:val="2B294872"/>
    <w:rsid w:val="2B720872"/>
    <w:rsid w:val="2B975F97"/>
    <w:rsid w:val="2BA01EF6"/>
    <w:rsid w:val="2BA47BE4"/>
    <w:rsid w:val="2BBD31FE"/>
    <w:rsid w:val="2BBE6BDA"/>
    <w:rsid w:val="2BD27647"/>
    <w:rsid w:val="2BE06B12"/>
    <w:rsid w:val="2BF1320F"/>
    <w:rsid w:val="2C0329E2"/>
    <w:rsid w:val="2C552A88"/>
    <w:rsid w:val="2C570873"/>
    <w:rsid w:val="2C627463"/>
    <w:rsid w:val="2C6C2E71"/>
    <w:rsid w:val="2C795131"/>
    <w:rsid w:val="2C7F1444"/>
    <w:rsid w:val="2C9069A9"/>
    <w:rsid w:val="2CBD2880"/>
    <w:rsid w:val="2CCC624A"/>
    <w:rsid w:val="2CDA3FB6"/>
    <w:rsid w:val="2CDE4428"/>
    <w:rsid w:val="2CF5020D"/>
    <w:rsid w:val="2CFE3591"/>
    <w:rsid w:val="2D021CF9"/>
    <w:rsid w:val="2D057C95"/>
    <w:rsid w:val="2D0D7096"/>
    <w:rsid w:val="2D2D1B98"/>
    <w:rsid w:val="2D3918AD"/>
    <w:rsid w:val="2D444978"/>
    <w:rsid w:val="2D74027E"/>
    <w:rsid w:val="2D99480A"/>
    <w:rsid w:val="2DE019CA"/>
    <w:rsid w:val="2DEA4EDA"/>
    <w:rsid w:val="2E134928"/>
    <w:rsid w:val="2E3078C7"/>
    <w:rsid w:val="2E4736C6"/>
    <w:rsid w:val="2E590A96"/>
    <w:rsid w:val="2E664F0E"/>
    <w:rsid w:val="2E765E93"/>
    <w:rsid w:val="2E90794B"/>
    <w:rsid w:val="2E913F49"/>
    <w:rsid w:val="2E975432"/>
    <w:rsid w:val="2EA52BCC"/>
    <w:rsid w:val="2EA65529"/>
    <w:rsid w:val="2EBC7E00"/>
    <w:rsid w:val="2EF05633"/>
    <w:rsid w:val="2EF10EBA"/>
    <w:rsid w:val="2F14155E"/>
    <w:rsid w:val="2F1C5B6B"/>
    <w:rsid w:val="2F1C643D"/>
    <w:rsid w:val="2F2050C6"/>
    <w:rsid w:val="2F2D2C74"/>
    <w:rsid w:val="2F36347D"/>
    <w:rsid w:val="2F366FBA"/>
    <w:rsid w:val="2F425940"/>
    <w:rsid w:val="2F51608B"/>
    <w:rsid w:val="2F5269FD"/>
    <w:rsid w:val="2F5D6878"/>
    <w:rsid w:val="2F673E13"/>
    <w:rsid w:val="2F6A2F5E"/>
    <w:rsid w:val="2F702AB3"/>
    <w:rsid w:val="2F852BAB"/>
    <w:rsid w:val="2F945C30"/>
    <w:rsid w:val="2F9713E2"/>
    <w:rsid w:val="2F9A555F"/>
    <w:rsid w:val="2F9C33B0"/>
    <w:rsid w:val="2F9C5597"/>
    <w:rsid w:val="2FA72B3A"/>
    <w:rsid w:val="2FC81A27"/>
    <w:rsid w:val="2FE974CC"/>
    <w:rsid w:val="2FFC2A25"/>
    <w:rsid w:val="300B3251"/>
    <w:rsid w:val="300C1389"/>
    <w:rsid w:val="3010730E"/>
    <w:rsid w:val="302D04AB"/>
    <w:rsid w:val="3033287B"/>
    <w:rsid w:val="304B0337"/>
    <w:rsid w:val="30500166"/>
    <w:rsid w:val="30A548DD"/>
    <w:rsid w:val="30AF77F1"/>
    <w:rsid w:val="30B44F64"/>
    <w:rsid w:val="30C13BFD"/>
    <w:rsid w:val="30FA37BC"/>
    <w:rsid w:val="31177757"/>
    <w:rsid w:val="31197C7F"/>
    <w:rsid w:val="313F5C71"/>
    <w:rsid w:val="31677EAB"/>
    <w:rsid w:val="3173424B"/>
    <w:rsid w:val="31764862"/>
    <w:rsid w:val="319818BE"/>
    <w:rsid w:val="319B1C03"/>
    <w:rsid w:val="319C5A34"/>
    <w:rsid w:val="31B91ED3"/>
    <w:rsid w:val="31D50D39"/>
    <w:rsid w:val="31E33688"/>
    <w:rsid w:val="31EE7B13"/>
    <w:rsid w:val="32430CA6"/>
    <w:rsid w:val="32527D6D"/>
    <w:rsid w:val="32757C33"/>
    <w:rsid w:val="32D3326D"/>
    <w:rsid w:val="32D92C8F"/>
    <w:rsid w:val="33386295"/>
    <w:rsid w:val="33387D68"/>
    <w:rsid w:val="33456015"/>
    <w:rsid w:val="334916BB"/>
    <w:rsid w:val="334B0FB9"/>
    <w:rsid w:val="33732214"/>
    <w:rsid w:val="33751B5F"/>
    <w:rsid w:val="337B0F96"/>
    <w:rsid w:val="337B23BD"/>
    <w:rsid w:val="337C55B1"/>
    <w:rsid w:val="33800B46"/>
    <w:rsid w:val="33821614"/>
    <w:rsid w:val="338447D2"/>
    <w:rsid w:val="338D6DE2"/>
    <w:rsid w:val="33BE5CB0"/>
    <w:rsid w:val="33F27880"/>
    <w:rsid w:val="340D5E55"/>
    <w:rsid w:val="3420294C"/>
    <w:rsid w:val="34301EB8"/>
    <w:rsid w:val="343220F0"/>
    <w:rsid w:val="3471062A"/>
    <w:rsid w:val="347378C0"/>
    <w:rsid w:val="347E2AA1"/>
    <w:rsid w:val="34A23BC4"/>
    <w:rsid w:val="34A253BF"/>
    <w:rsid w:val="34A35808"/>
    <w:rsid w:val="34A9070C"/>
    <w:rsid w:val="34E37B01"/>
    <w:rsid w:val="35046E0F"/>
    <w:rsid w:val="35060114"/>
    <w:rsid w:val="354F764F"/>
    <w:rsid w:val="355238BD"/>
    <w:rsid w:val="356236F6"/>
    <w:rsid w:val="35794A7B"/>
    <w:rsid w:val="358D6FD9"/>
    <w:rsid w:val="3592555F"/>
    <w:rsid w:val="35981325"/>
    <w:rsid w:val="359B794C"/>
    <w:rsid w:val="35A44FD3"/>
    <w:rsid w:val="35B7052C"/>
    <w:rsid w:val="35BC4256"/>
    <w:rsid w:val="35C32150"/>
    <w:rsid w:val="35C93C3A"/>
    <w:rsid w:val="35D87D7A"/>
    <w:rsid w:val="35D96444"/>
    <w:rsid w:val="35E867D5"/>
    <w:rsid w:val="35EA108B"/>
    <w:rsid w:val="35F34384"/>
    <w:rsid w:val="360220B7"/>
    <w:rsid w:val="36023B17"/>
    <w:rsid w:val="360A268B"/>
    <w:rsid w:val="360D0908"/>
    <w:rsid w:val="36466596"/>
    <w:rsid w:val="367F26F4"/>
    <w:rsid w:val="368B4845"/>
    <w:rsid w:val="369663DF"/>
    <w:rsid w:val="36C1418E"/>
    <w:rsid w:val="36C20291"/>
    <w:rsid w:val="36C97A09"/>
    <w:rsid w:val="36DF2F73"/>
    <w:rsid w:val="36F431CE"/>
    <w:rsid w:val="370D2B00"/>
    <w:rsid w:val="372E023F"/>
    <w:rsid w:val="374751AF"/>
    <w:rsid w:val="375F6A38"/>
    <w:rsid w:val="378633C2"/>
    <w:rsid w:val="378D5780"/>
    <w:rsid w:val="379004FC"/>
    <w:rsid w:val="379217CE"/>
    <w:rsid w:val="37955629"/>
    <w:rsid w:val="37992FB7"/>
    <w:rsid w:val="37CE136B"/>
    <w:rsid w:val="37CF579E"/>
    <w:rsid w:val="37D851A7"/>
    <w:rsid w:val="38186D13"/>
    <w:rsid w:val="38316B8F"/>
    <w:rsid w:val="38710C07"/>
    <w:rsid w:val="38872D4A"/>
    <w:rsid w:val="38892534"/>
    <w:rsid w:val="38CE25CB"/>
    <w:rsid w:val="38E238CE"/>
    <w:rsid w:val="3932345E"/>
    <w:rsid w:val="393B60A9"/>
    <w:rsid w:val="39601FD3"/>
    <w:rsid w:val="39624FB3"/>
    <w:rsid w:val="39630C5F"/>
    <w:rsid w:val="39682EE2"/>
    <w:rsid w:val="396B7F89"/>
    <w:rsid w:val="39754FB1"/>
    <w:rsid w:val="39943035"/>
    <w:rsid w:val="39BA2CDA"/>
    <w:rsid w:val="39D07788"/>
    <w:rsid w:val="39E40B5A"/>
    <w:rsid w:val="39E47662"/>
    <w:rsid w:val="39FC5BC5"/>
    <w:rsid w:val="3A17183A"/>
    <w:rsid w:val="3A2375BE"/>
    <w:rsid w:val="3A360F3F"/>
    <w:rsid w:val="3A45241C"/>
    <w:rsid w:val="3A507DE2"/>
    <w:rsid w:val="3A613BCE"/>
    <w:rsid w:val="3A6B2E0A"/>
    <w:rsid w:val="3A7A5EF2"/>
    <w:rsid w:val="3A7E31A4"/>
    <w:rsid w:val="3A996B55"/>
    <w:rsid w:val="3A9E7A9E"/>
    <w:rsid w:val="3AEF0695"/>
    <w:rsid w:val="3AF3403B"/>
    <w:rsid w:val="3AF34B47"/>
    <w:rsid w:val="3B095EE8"/>
    <w:rsid w:val="3B0C600C"/>
    <w:rsid w:val="3B135CB0"/>
    <w:rsid w:val="3B3009B1"/>
    <w:rsid w:val="3B3A1B09"/>
    <w:rsid w:val="3B414067"/>
    <w:rsid w:val="3B531E51"/>
    <w:rsid w:val="3B735E06"/>
    <w:rsid w:val="3B742306"/>
    <w:rsid w:val="3B791CE3"/>
    <w:rsid w:val="3BA150A1"/>
    <w:rsid w:val="3BBC3CE9"/>
    <w:rsid w:val="3BEC4CE1"/>
    <w:rsid w:val="3BFD07D4"/>
    <w:rsid w:val="3C131501"/>
    <w:rsid w:val="3C2F11CA"/>
    <w:rsid w:val="3C457775"/>
    <w:rsid w:val="3C525BE8"/>
    <w:rsid w:val="3C55652C"/>
    <w:rsid w:val="3C6A14E8"/>
    <w:rsid w:val="3C9F2746"/>
    <w:rsid w:val="3CA12555"/>
    <w:rsid w:val="3CA751A8"/>
    <w:rsid w:val="3CBC006B"/>
    <w:rsid w:val="3CC1308D"/>
    <w:rsid w:val="3CC76600"/>
    <w:rsid w:val="3D05255D"/>
    <w:rsid w:val="3D083853"/>
    <w:rsid w:val="3D126515"/>
    <w:rsid w:val="3D347ED6"/>
    <w:rsid w:val="3D3F442F"/>
    <w:rsid w:val="3D526B17"/>
    <w:rsid w:val="3D6E4C39"/>
    <w:rsid w:val="3D8314F7"/>
    <w:rsid w:val="3D845586"/>
    <w:rsid w:val="3D9A202B"/>
    <w:rsid w:val="3DD94BED"/>
    <w:rsid w:val="3DDB05B2"/>
    <w:rsid w:val="3DEE4B70"/>
    <w:rsid w:val="3DF6218C"/>
    <w:rsid w:val="3DF749D7"/>
    <w:rsid w:val="3E0D1631"/>
    <w:rsid w:val="3E1C6E6D"/>
    <w:rsid w:val="3E1F11BC"/>
    <w:rsid w:val="3E2A71EE"/>
    <w:rsid w:val="3E3674F9"/>
    <w:rsid w:val="3E5C3A4B"/>
    <w:rsid w:val="3E6E45C0"/>
    <w:rsid w:val="3E723D08"/>
    <w:rsid w:val="3E760D42"/>
    <w:rsid w:val="3E7B5A49"/>
    <w:rsid w:val="3E805E70"/>
    <w:rsid w:val="3E8124B9"/>
    <w:rsid w:val="3EAD52AD"/>
    <w:rsid w:val="3EB21F6B"/>
    <w:rsid w:val="3EBB6773"/>
    <w:rsid w:val="3ED406CC"/>
    <w:rsid w:val="3ED674E6"/>
    <w:rsid w:val="3EE43C65"/>
    <w:rsid w:val="3EE8654C"/>
    <w:rsid w:val="3EF76FF2"/>
    <w:rsid w:val="3F194D52"/>
    <w:rsid w:val="3F1B3167"/>
    <w:rsid w:val="3F237E08"/>
    <w:rsid w:val="3F2C5033"/>
    <w:rsid w:val="3F3D4D60"/>
    <w:rsid w:val="3F7767C3"/>
    <w:rsid w:val="3F8600BF"/>
    <w:rsid w:val="3F895EAF"/>
    <w:rsid w:val="3F9B2304"/>
    <w:rsid w:val="3F9D63B1"/>
    <w:rsid w:val="3FAB5957"/>
    <w:rsid w:val="3FB7651E"/>
    <w:rsid w:val="3FC31D0C"/>
    <w:rsid w:val="3FD900D6"/>
    <w:rsid w:val="3FF85B4D"/>
    <w:rsid w:val="400C0688"/>
    <w:rsid w:val="40372BAA"/>
    <w:rsid w:val="40393596"/>
    <w:rsid w:val="405F4D71"/>
    <w:rsid w:val="40672888"/>
    <w:rsid w:val="406D14C8"/>
    <w:rsid w:val="4084138C"/>
    <w:rsid w:val="40B0471F"/>
    <w:rsid w:val="40B51196"/>
    <w:rsid w:val="40FE6238"/>
    <w:rsid w:val="41011445"/>
    <w:rsid w:val="4117569F"/>
    <w:rsid w:val="41631AEE"/>
    <w:rsid w:val="41944EDD"/>
    <w:rsid w:val="41B030D1"/>
    <w:rsid w:val="41E32C75"/>
    <w:rsid w:val="41E42C51"/>
    <w:rsid w:val="41F442C5"/>
    <w:rsid w:val="41FF23DF"/>
    <w:rsid w:val="420267D8"/>
    <w:rsid w:val="42104FB8"/>
    <w:rsid w:val="42110FD5"/>
    <w:rsid w:val="422033F5"/>
    <w:rsid w:val="4233323A"/>
    <w:rsid w:val="424E5E75"/>
    <w:rsid w:val="42720639"/>
    <w:rsid w:val="427631EA"/>
    <w:rsid w:val="427D4BA4"/>
    <w:rsid w:val="429017D7"/>
    <w:rsid w:val="42943099"/>
    <w:rsid w:val="42A04312"/>
    <w:rsid w:val="42B34034"/>
    <w:rsid w:val="42C01975"/>
    <w:rsid w:val="42CB2FDB"/>
    <w:rsid w:val="42D01E95"/>
    <w:rsid w:val="42D62C72"/>
    <w:rsid w:val="42DE633D"/>
    <w:rsid w:val="42E56B44"/>
    <w:rsid w:val="42F81104"/>
    <w:rsid w:val="42FF5C78"/>
    <w:rsid w:val="4325579D"/>
    <w:rsid w:val="433D6AEF"/>
    <w:rsid w:val="434C4FEB"/>
    <w:rsid w:val="4385356B"/>
    <w:rsid w:val="4389342C"/>
    <w:rsid w:val="438F3760"/>
    <w:rsid w:val="439222CD"/>
    <w:rsid w:val="439528D6"/>
    <w:rsid w:val="43996F17"/>
    <w:rsid w:val="43DC345D"/>
    <w:rsid w:val="43ED5E56"/>
    <w:rsid w:val="44040BF2"/>
    <w:rsid w:val="441171F2"/>
    <w:rsid w:val="44430A32"/>
    <w:rsid w:val="444405F1"/>
    <w:rsid w:val="444F2DAE"/>
    <w:rsid w:val="445C5A9D"/>
    <w:rsid w:val="445F4750"/>
    <w:rsid w:val="446517E8"/>
    <w:rsid w:val="446C496C"/>
    <w:rsid w:val="447E011D"/>
    <w:rsid w:val="448C1F9D"/>
    <w:rsid w:val="449412DA"/>
    <w:rsid w:val="44A115F6"/>
    <w:rsid w:val="44A1767D"/>
    <w:rsid w:val="44AF2266"/>
    <w:rsid w:val="44AF6BAB"/>
    <w:rsid w:val="44D03A8A"/>
    <w:rsid w:val="44EB277F"/>
    <w:rsid w:val="44ED7D1F"/>
    <w:rsid w:val="45263ACC"/>
    <w:rsid w:val="455373C7"/>
    <w:rsid w:val="45576A40"/>
    <w:rsid w:val="459E545A"/>
    <w:rsid w:val="45BC53D5"/>
    <w:rsid w:val="45C03E9F"/>
    <w:rsid w:val="45D578C2"/>
    <w:rsid w:val="45E63203"/>
    <w:rsid w:val="462D4453"/>
    <w:rsid w:val="468432BD"/>
    <w:rsid w:val="46886F78"/>
    <w:rsid w:val="46A531F0"/>
    <w:rsid w:val="46C50634"/>
    <w:rsid w:val="46C82FBA"/>
    <w:rsid w:val="46F228C2"/>
    <w:rsid w:val="47143721"/>
    <w:rsid w:val="47161653"/>
    <w:rsid w:val="471C4981"/>
    <w:rsid w:val="47475975"/>
    <w:rsid w:val="474A7B98"/>
    <w:rsid w:val="475A446B"/>
    <w:rsid w:val="475F4370"/>
    <w:rsid w:val="476C700E"/>
    <w:rsid w:val="4786307B"/>
    <w:rsid w:val="4793239C"/>
    <w:rsid w:val="479F5F64"/>
    <w:rsid w:val="47AE77AB"/>
    <w:rsid w:val="47B32C62"/>
    <w:rsid w:val="47C5388B"/>
    <w:rsid w:val="47D302CC"/>
    <w:rsid w:val="47EC6AEC"/>
    <w:rsid w:val="47FE180F"/>
    <w:rsid w:val="480B0148"/>
    <w:rsid w:val="480D7959"/>
    <w:rsid w:val="48152A6F"/>
    <w:rsid w:val="4817322A"/>
    <w:rsid w:val="4821346D"/>
    <w:rsid w:val="48237468"/>
    <w:rsid w:val="482624B0"/>
    <w:rsid w:val="48320EE4"/>
    <w:rsid w:val="483D0BCA"/>
    <w:rsid w:val="484A44DB"/>
    <w:rsid w:val="4870362F"/>
    <w:rsid w:val="487B7CE8"/>
    <w:rsid w:val="489F0520"/>
    <w:rsid w:val="48A111E9"/>
    <w:rsid w:val="48BD0A30"/>
    <w:rsid w:val="48BE5AF9"/>
    <w:rsid w:val="48E51B39"/>
    <w:rsid w:val="48FD2CE9"/>
    <w:rsid w:val="48FE1710"/>
    <w:rsid w:val="492A04C7"/>
    <w:rsid w:val="492D4FE8"/>
    <w:rsid w:val="4939224C"/>
    <w:rsid w:val="493E630F"/>
    <w:rsid w:val="49516D45"/>
    <w:rsid w:val="49560E29"/>
    <w:rsid w:val="495B506E"/>
    <w:rsid w:val="496E7905"/>
    <w:rsid w:val="4984156D"/>
    <w:rsid w:val="49877682"/>
    <w:rsid w:val="498C7BA6"/>
    <w:rsid w:val="499F1966"/>
    <w:rsid w:val="49AB4051"/>
    <w:rsid w:val="49B3564A"/>
    <w:rsid w:val="49B66BCF"/>
    <w:rsid w:val="49BD7F82"/>
    <w:rsid w:val="49C570F9"/>
    <w:rsid w:val="49CE07F3"/>
    <w:rsid w:val="4A1C754E"/>
    <w:rsid w:val="4A4C702D"/>
    <w:rsid w:val="4A4D1931"/>
    <w:rsid w:val="4A503249"/>
    <w:rsid w:val="4A670083"/>
    <w:rsid w:val="4A703738"/>
    <w:rsid w:val="4A711268"/>
    <w:rsid w:val="4A970971"/>
    <w:rsid w:val="4A9A3C1E"/>
    <w:rsid w:val="4A9E2EEF"/>
    <w:rsid w:val="4ABB21BB"/>
    <w:rsid w:val="4AC03718"/>
    <w:rsid w:val="4B2E437A"/>
    <w:rsid w:val="4B3A7AE8"/>
    <w:rsid w:val="4B3B4DAF"/>
    <w:rsid w:val="4B5123EF"/>
    <w:rsid w:val="4B514E21"/>
    <w:rsid w:val="4B7920B4"/>
    <w:rsid w:val="4B936974"/>
    <w:rsid w:val="4B966C39"/>
    <w:rsid w:val="4BB64AD2"/>
    <w:rsid w:val="4BC430E6"/>
    <w:rsid w:val="4BD6245B"/>
    <w:rsid w:val="4BD96074"/>
    <w:rsid w:val="4BFC5C5F"/>
    <w:rsid w:val="4C0D7123"/>
    <w:rsid w:val="4C3B383D"/>
    <w:rsid w:val="4C495F61"/>
    <w:rsid w:val="4C4A1285"/>
    <w:rsid w:val="4C633467"/>
    <w:rsid w:val="4C666E6A"/>
    <w:rsid w:val="4C8454D5"/>
    <w:rsid w:val="4C8B63DC"/>
    <w:rsid w:val="4CA84051"/>
    <w:rsid w:val="4CB17F95"/>
    <w:rsid w:val="4CB92637"/>
    <w:rsid w:val="4CF97A09"/>
    <w:rsid w:val="4D0B7CAF"/>
    <w:rsid w:val="4D246409"/>
    <w:rsid w:val="4D3118EE"/>
    <w:rsid w:val="4D3163C0"/>
    <w:rsid w:val="4D454DD7"/>
    <w:rsid w:val="4D473FD7"/>
    <w:rsid w:val="4D64561E"/>
    <w:rsid w:val="4D6A6FB5"/>
    <w:rsid w:val="4D7E77CA"/>
    <w:rsid w:val="4D8950D3"/>
    <w:rsid w:val="4D93309C"/>
    <w:rsid w:val="4D9361DF"/>
    <w:rsid w:val="4DA42249"/>
    <w:rsid w:val="4DA744E7"/>
    <w:rsid w:val="4DC67698"/>
    <w:rsid w:val="4DED6D42"/>
    <w:rsid w:val="4E0A7287"/>
    <w:rsid w:val="4E3539E2"/>
    <w:rsid w:val="4E49796D"/>
    <w:rsid w:val="4E5E658D"/>
    <w:rsid w:val="4E6D4E01"/>
    <w:rsid w:val="4E914B47"/>
    <w:rsid w:val="4E9D5281"/>
    <w:rsid w:val="4EAA60F1"/>
    <w:rsid w:val="4EAE6CF6"/>
    <w:rsid w:val="4EB45F61"/>
    <w:rsid w:val="4EBB3BC0"/>
    <w:rsid w:val="4ED2444F"/>
    <w:rsid w:val="4EDD093B"/>
    <w:rsid w:val="4EF665C9"/>
    <w:rsid w:val="4EFB0F50"/>
    <w:rsid w:val="4EFB3874"/>
    <w:rsid w:val="4F105AA0"/>
    <w:rsid w:val="4F301E9C"/>
    <w:rsid w:val="4F365651"/>
    <w:rsid w:val="4F401750"/>
    <w:rsid w:val="4F41138D"/>
    <w:rsid w:val="4F412768"/>
    <w:rsid w:val="4F6F02BB"/>
    <w:rsid w:val="4F717955"/>
    <w:rsid w:val="4F822D0C"/>
    <w:rsid w:val="4FA04BEB"/>
    <w:rsid w:val="4FB45191"/>
    <w:rsid w:val="4FC04DFE"/>
    <w:rsid w:val="50077C06"/>
    <w:rsid w:val="50334A8A"/>
    <w:rsid w:val="503643EE"/>
    <w:rsid w:val="50695837"/>
    <w:rsid w:val="506F2C5A"/>
    <w:rsid w:val="507F4215"/>
    <w:rsid w:val="50803698"/>
    <w:rsid w:val="50846814"/>
    <w:rsid w:val="50D74100"/>
    <w:rsid w:val="50D85CE7"/>
    <w:rsid w:val="50E50C5F"/>
    <w:rsid w:val="50EA3E14"/>
    <w:rsid w:val="50F37041"/>
    <w:rsid w:val="51023AE2"/>
    <w:rsid w:val="51174291"/>
    <w:rsid w:val="512D628A"/>
    <w:rsid w:val="51346EFA"/>
    <w:rsid w:val="515E0AFE"/>
    <w:rsid w:val="516140B1"/>
    <w:rsid w:val="51677B3E"/>
    <w:rsid w:val="51710B4D"/>
    <w:rsid w:val="517A7908"/>
    <w:rsid w:val="518A233B"/>
    <w:rsid w:val="519817A9"/>
    <w:rsid w:val="519E4B9C"/>
    <w:rsid w:val="51AB141B"/>
    <w:rsid w:val="51BF490B"/>
    <w:rsid w:val="51CD4BAF"/>
    <w:rsid w:val="51E41926"/>
    <w:rsid w:val="51E83FEC"/>
    <w:rsid w:val="52146D42"/>
    <w:rsid w:val="521B2FFF"/>
    <w:rsid w:val="522640EB"/>
    <w:rsid w:val="52373B81"/>
    <w:rsid w:val="52482BBA"/>
    <w:rsid w:val="524B1C9B"/>
    <w:rsid w:val="52527B8C"/>
    <w:rsid w:val="525835DC"/>
    <w:rsid w:val="526049C3"/>
    <w:rsid w:val="526F4BD9"/>
    <w:rsid w:val="52763260"/>
    <w:rsid w:val="528A3F8D"/>
    <w:rsid w:val="52AD1740"/>
    <w:rsid w:val="52AD55E0"/>
    <w:rsid w:val="52BD14CB"/>
    <w:rsid w:val="52C85300"/>
    <w:rsid w:val="52DC53AD"/>
    <w:rsid w:val="52E8385B"/>
    <w:rsid w:val="52EA5698"/>
    <w:rsid w:val="52F57EDB"/>
    <w:rsid w:val="52FF2BE6"/>
    <w:rsid w:val="5335268B"/>
    <w:rsid w:val="53391A60"/>
    <w:rsid w:val="535E355E"/>
    <w:rsid w:val="535E6BD5"/>
    <w:rsid w:val="53665ADB"/>
    <w:rsid w:val="536A1307"/>
    <w:rsid w:val="53866E7C"/>
    <w:rsid w:val="5395406C"/>
    <w:rsid w:val="53BB1D12"/>
    <w:rsid w:val="53C04CA7"/>
    <w:rsid w:val="53DA102D"/>
    <w:rsid w:val="53DC7450"/>
    <w:rsid w:val="53E82825"/>
    <w:rsid w:val="53EE3B1E"/>
    <w:rsid w:val="53F41E47"/>
    <w:rsid w:val="54207180"/>
    <w:rsid w:val="54372BBD"/>
    <w:rsid w:val="54770A69"/>
    <w:rsid w:val="54AF151C"/>
    <w:rsid w:val="54D21B6B"/>
    <w:rsid w:val="54E26D97"/>
    <w:rsid w:val="54FE3B30"/>
    <w:rsid w:val="54FF3FC4"/>
    <w:rsid w:val="5500319C"/>
    <w:rsid w:val="55097EA8"/>
    <w:rsid w:val="550C4A3D"/>
    <w:rsid w:val="55394AB7"/>
    <w:rsid w:val="5543742D"/>
    <w:rsid w:val="55607BA2"/>
    <w:rsid w:val="556809A5"/>
    <w:rsid w:val="557D4F47"/>
    <w:rsid w:val="55A33666"/>
    <w:rsid w:val="55AF343D"/>
    <w:rsid w:val="55CA2783"/>
    <w:rsid w:val="55DE141B"/>
    <w:rsid w:val="55E60C22"/>
    <w:rsid w:val="55F41DF0"/>
    <w:rsid w:val="55F470B7"/>
    <w:rsid w:val="55F7166F"/>
    <w:rsid w:val="55FC754D"/>
    <w:rsid w:val="55FF7720"/>
    <w:rsid w:val="561D34E4"/>
    <w:rsid w:val="56273C46"/>
    <w:rsid w:val="56274574"/>
    <w:rsid w:val="56501FDB"/>
    <w:rsid w:val="565767F2"/>
    <w:rsid w:val="565B7681"/>
    <w:rsid w:val="566925D2"/>
    <w:rsid w:val="56CB3F55"/>
    <w:rsid w:val="56E65A6C"/>
    <w:rsid w:val="56E7380D"/>
    <w:rsid w:val="57110676"/>
    <w:rsid w:val="572C1B9D"/>
    <w:rsid w:val="573030ED"/>
    <w:rsid w:val="57356626"/>
    <w:rsid w:val="573825B4"/>
    <w:rsid w:val="57443C5C"/>
    <w:rsid w:val="57542192"/>
    <w:rsid w:val="575C33BC"/>
    <w:rsid w:val="57834A8F"/>
    <w:rsid w:val="578C0365"/>
    <w:rsid w:val="57C21B25"/>
    <w:rsid w:val="57CF2171"/>
    <w:rsid w:val="57DF37B7"/>
    <w:rsid w:val="57E72218"/>
    <w:rsid w:val="57F81D75"/>
    <w:rsid w:val="57FC6781"/>
    <w:rsid w:val="5803084F"/>
    <w:rsid w:val="58136008"/>
    <w:rsid w:val="582D37D5"/>
    <w:rsid w:val="582E471D"/>
    <w:rsid w:val="58346ECD"/>
    <w:rsid w:val="58453830"/>
    <w:rsid w:val="584F4F96"/>
    <w:rsid w:val="586374E9"/>
    <w:rsid w:val="58934D34"/>
    <w:rsid w:val="58AC675C"/>
    <w:rsid w:val="58CD6007"/>
    <w:rsid w:val="58F12013"/>
    <w:rsid w:val="58F55ABB"/>
    <w:rsid w:val="591323F1"/>
    <w:rsid w:val="591F4DBF"/>
    <w:rsid w:val="592F08E4"/>
    <w:rsid w:val="59376FB3"/>
    <w:rsid w:val="59442A34"/>
    <w:rsid w:val="59480DDD"/>
    <w:rsid w:val="5963266D"/>
    <w:rsid w:val="5992078F"/>
    <w:rsid w:val="59991984"/>
    <w:rsid w:val="59AD419E"/>
    <w:rsid w:val="59B406BD"/>
    <w:rsid w:val="59BC417F"/>
    <w:rsid w:val="59E2063B"/>
    <w:rsid w:val="59F10CBC"/>
    <w:rsid w:val="59F4718B"/>
    <w:rsid w:val="5A0F4FFB"/>
    <w:rsid w:val="5A1A2C78"/>
    <w:rsid w:val="5A3A2866"/>
    <w:rsid w:val="5A424B12"/>
    <w:rsid w:val="5A514DC8"/>
    <w:rsid w:val="5A5164D9"/>
    <w:rsid w:val="5A5641F8"/>
    <w:rsid w:val="5A5B4227"/>
    <w:rsid w:val="5A69695F"/>
    <w:rsid w:val="5A730CB0"/>
    <w:rsid w:val="5AA65A71"/>
    <w:rsid w:val="5ABC739B"/>
    <w:rsid w:val="5ABE27AC"/>
    <w:rsid w:val="5ACB1478"/>
    <w:rsid w:val="5AF53D84"/>
    <w:rsid w:val="5B0979D1"/>
    <w:rsid w:val="5B0A5BF1"/>
    <w:rsid w:val="5B1E151B"/>
    <w:rsid w:val="5B1F0BD0"/>
    <w:rsid w:val="5B215081"/>
    <w:rsid w:val="5B284EFB"/>
    <w:rsid w:val="5B37609A"/>
    <w:rsid w:val="5B4224AC"/>
    <w:rsid w:val="5B4600AE"/>
    <w:rsid w:val="5B4A34F6"/>
    <w:rsid w:val="5B644C09"/>
    <w:rsid w:val="5B730D5C"/>
    <w:rsid w:val="5B97525D"/>
    <w:rsid w:val="5BBC7A7B"/>
    <w:rsid w:val="5BC32F21"/>
    <w:rsid w:val="5BDE1ED8"/>
    <w:rsid w:val="5BDF4C5B"/>
    <w:rsid w:val="5BE47736"/>
    <w:rsid w:val="5BEB46BE"/>
    <w:rsid w:val="5BFB396C"/>
    <w:rsid w:val="5C145D67"/>
    <w:rsid w:val="5C1F7B8E"/>
    <w:rsid w:val="5C4A358A"/>
    <w:rsid w:val="5C6C550E"/>
    <w:rsid w:val="5C7863BA"/>
    <w:rsid w:val="5C9A725A"/>
    <w:rsid w:val="5CA310DB"/>
    <w:rsid w:val="5CAC7C7A"/>
    <w:rsid w:val="5CC042DD"/>
    <w:rsid w:val="5CE93DD2"/>
    <w:rsid w:val="5CEE3CB5"/>
    <w:rsid w:val="5D046781"/>
    <w:rsid w:val="5D1C30D5"/>
    <w:rsid w:val="5D257BBE"/>
    <w:rsid w:val="5D2A7253"/>
    <w:rsid w:val="5D425C9D"/>
    <w:rsid w:val="5D5B68A1"/>
    <w:rsid w:val="5D6566D1"/>
    <w:rsid w:val="5D6952C4"/>
    <w:rsid w:val="5D8C156D"/>
    <w:rsid w:val="5D92477F"/>
    <w:rsid w:val="5DD87304"/>
    <w:rsid w:val="5DF33606"/>
    <w:rsid w:val="5DFC58AF"/>
    <w:rsid w:val="5E005D04"/>
    <w:rsid w:val="5E0639F5"/>
    <w:rsid w:val="5E0A0DC6"/>
    <w:rsid w:val="5E1D1398"/>
    <w:rsid w:val="5E1E41E4"/>
    <w:rsid w:val="5E467D12"/>
    <w:rsid w:val="5E5D6AF6"/>
    <w:rsid w:val="5E85141E"/>
    <w:rsid w:val="5E8E6FF4"/>
    <w:rsid w:val="5E907B99"/>
    <w:rsid w:val="5E9927DC"/>
    <w:rsid w:val="5EAD3438"/>
    <w:rsid w:val="5EB34A71"/>
    <w:rsid w:val="5EB90A45"/>
    <w:rsid w:val="5EBC4ACE"/>
    <w:rsid w:val="5ECD32B9"/>
    <w:rsid w:val="5EEB0A9F"/>
    <w:rsid w:val="5EF36B82"/>
    <w:rsid w:val="5EFB1920"/>
    <w:rsid w:val="5EFB3845"/>
    <w:rsid w:val="5F1204C2"/>
    <w:rsid w:val="5F272355"/>
    <w:rsid w:val="5F2D6128"/>
    <w:rsid w:val="5F32684B"/>
    <w:rsid w:val="5F6D70CB"/>
    <w:rsid w:val="5F7A4C35"/>
    <w:rsid w:val="5F85227B"/>
    <w:rsid w:val="5FA640E0"/>
    <w:rsid w:val="5FB46DFD"/>
    <w:rsid w:val="5FD04C9A"/>
    <w:rsid w:val="5FDD1796"/>
    <w:rsid w:val="5FE94EC9"/>
    <w:rsid w:val="60007D5E"/>
    <w:rsid w:val="60074A3A"/>
    <w:rsid w:val="60241107"/>
    <w:rsid w:val="602A4B36"/>
    <w:rsid w:val="60345CDF"/>
    <w:rsid w:val="603F0AB4"/>
    <w:rsid w:val="604C2BA3"/>
    <w:rsid w:val="60607020"/>
    <w:rsid w:val="608901C5"/>
    <w:rsid w:val="60A85F03"/>
    <w:rsid w:val="60AC30B4"/>
    <w:rsid w:val="60BD46ED"/>
    <w:rsid w:val="60D7798A"/>
    <w:rsid w:val="60DF2F7E"/>
    <w:rsid w:val="6129303D"/>
    <w:rsid w:val="613335A1"/>
    <w:rsid w:val="61384249"/>
    <w:rsid w:val="616A5394"/>
    <w:rsid w:val="616A7E49"/>
    <w:rsid w:val="61796B56"/>
    <w:rsid w:val="61984F90"/>
    <w:rsid w:val="619A06DC"/>
    <w:rsid w:val="619F6E6D"/>
    <w:rsid w:val="61AC28E1"/>
    <w:rsid w:val="61C0355C"/>
    <w:rsid w:val="61D46DB5"/>
    <w:rsid w:val="61E64506"/>
    <w:rsid w:val="61F3106D"/>
    <w:rsid w:val="6210610B"/>
    <w:rsid w:val="621815B7"/>
    <w:rsid w:val="6226638B"/>
    <w:rsid w:val="6227626A"/>
    <w:rsid w:val="62306F52"/>
    <w:rsid w:val="623247A5"/>
    <w:rsid w:val="62701F04"/>
    <w:rsid w:val="62875CDC"/>
    <w:rsid w:val="628F0CAC"/>
    <w:rsid w:val="629638AB"/>
    <w:rsid w:val="62E1249E"/>
    <w:rsid w:val="630F3F80"/>
    <w:rsid w:val="634D78EA"/>
    <w:rsid w:val="63517AA9"/>
    <w:rsid w:val="638069A4"/>
    <w:rsid w:val="6388348D"/>
    <w:rsid w:val="638D0B59"/>
    <w:rsid w:val="63932A0E"/>
    <w:rsid w:val="639E012E"/>
    <w:rsid w:val="63AC6F5C"/>
    <w:rsid w:val="63B21BBB"/>
    <w:rsid w:val="63C224A1"/>
    <w:rsid w:val="63C93EBE"/>
    <w:rsid w:val="63D466C0"/>
    <w:rsid w:val="63DC3A4D"/>
    <w:rsid w:val="640845D3"/>
    <w:rsid w:val="6413606B"/>
    <w:rsid w:val="641E1785"/>
    <w:rsid w:val="643C4B9B"/>
    <w:rsid w:val="64455EB6"/>
    <w:rsid w:val="647975E7"/>
    <w:rsid w:val="64827167"/>
    <w:rsid w:val="64883881"/>
    <w:rsid w:val="648E3601"/>
    <w:rsid w:val="649F755A"/>
    <w:rsid w:val="64A01FA6"/>
    <w:rsid w:val="64B737A9"/>
    <w:rsid w:val="64D7096D"/>
    <w:rsid w:val="6500109F"/>
    <w:rsid w:val="650759EB"/>
    <w:rsid w:val="650D2CB2"/>
    <w:rsid w:val="654851E9"/>
    <w:rsid w:val="65553C03"/>
    <w:rsid w:val="655B3772"/>
    <w:rsid w:val="657107A2"/>
    <w:rsid w:val="65893EFE"/>
    <w:rsid w:val="658C2E92"/>
    <w:rsid w:val="65A3249A"/>
    <w:rsid w:val="65A6655F"/>
    <w:rsid w:val="65AE6D50"/>
    <w:rsid w:val="65BE561D"/>
    <w:rsid w:val="65D73909"/>
    <w:rsid w:val="65E11A3D"/>
    <w:rsid w:val="65E8128F"/>
    <w:rsid w:val="66063BFB"/>
    <w:rsid w:val="66114E68"/>
    <w:rsid w:val="661C7334"/>
    <w:rsid w:val="66430092"/>
    <w:rsid w:val="664F616C"/>
    <w:rsid w:val="66580DDA"/>
    <w:rsid w:val="66653CBB"/>
    <w:rsid w:val="666E0D1A"/>
    <w:rsid w:val="66874D1D"/>
    <w:rsid w:val="669440FA"/>
    <w:rsid w:val="669662B8"/>
    <w:rsid w:val="66990655"/>
    <w:rsid w:val="669F3C5C"/>
    <w:rsid w:val="66A8267B"/>
    <w:rsid w:val="66AC2FF7"/>
    <w:rsid w:val="66B36D69"/>
    <w:rsid w:val="66BC6C7A"/>
    <w:rsid w:val="66C21E1D"/>
    <w:rsid w:val="66D32339"/>
    <w:rsid w:val="66EB3504"/>
    <w:rsid w:val="66F87587"/>
    <w:rsid w:val="67043EE7"/>
    <w:rsid w:val="671B13C2"/>
    <w:rsid w:val="672B60DE"/>
    <w:rsid w:val="672E1EDE"/>
    <w:rsid w:val="672F281F"/>
    <w:rsid w:val="673E49AB"/>
    <w:rsid w:val="674627EE"/>
    <w:rsid w:val="67505FFA"/>
    <w:rsid w:val="67643E79"/>
    <w:rsid w:val="676779D0"/>
    <w:rsid w:val="67710BB8"/>
    <w:rsid w:val="67747593"/>
    <w:rsid w:val="679B1463"/>
    <w:rsid w:val="67CA2CA5"/>
    <w:rsid w:val="67CC53A3"/>
    <w:rsid w:val="67E83496"/>
    <w:rsid w:val="680E2257"/>
    <w:rsid w:val="68132063"/>
    <w:rsid w:val="68194A1A"/>
    <w:rsid w:val="682D6814"/>
    <w:rsid w:val="68354559"/>
    <w:rsid w:val="68415798"/>
    <w:rsid w:val="684B39CF"/>
    <w:rsid w:val="684F22D2"/>
    <w:rsid w:val="68526522"/>
    <w:rsid w:val="68551F13"/>
    <w:rsid w:val="685802F3"/>
    <w:rsid w:val="68762DDB"/>
    <w:rsid w:val="687D0C37"/>
    <w:rsid w:val="68850013"/>
    <w:rsid w:val="689D1D90"/>
    <w:rsid w:val="68C164D4"/>
    <w:rsid w:val="69067F56"/>
    <w:rsid w:val="692428FF"/>
    <w:rsid w:val="693C4BE1"/>
    <w:rsid w:val="693D369E"/>
    <w:rsid w:val="69406286"/>
    <w:rsid w:val="69477940"/>
    <w:rsid w:val="695D6593"/>
    <w:rsid w:val="69605203"/>
    <w:rsid w:val="698A1753"/>
    <w:rsid w:val="69BC4EE9"/>
    <w:rsid w:val="6A0A13CB"/>
    <w:rsid w:val="6A0B0715"/>
    <w:rsid w:val="6A2A3587"/>
    <w:rsid w:val="6A540EB9"/>
    <w:rsid w:val="6A5D6ADB"/>
    <w:rsid w:val="6A620320"/>
    <w:rsid w:val="6A6C5C0B"/>
    <w:rsid w:val="6A6F39DD"/>
    <w:rsid w:val="6A7F6A89"/>
    <w:rsid w:val="6A8A3C56"/>
    <w:rsid w:val="6AB11C7D"/>
    <w:rsid w:val="6AB41B01"/>
    <w:rsid w:val="6AB6125B"/>
    <w:rsid w:val="6ABB6A1B"/>
    <w:rsid w:val="6AC138C8"/>
    <w:rsid w:val="6AC93CE7"/>
    <w:rsid w:val="6ADA00CD"/>
    <w:rsid w:val="6AF457AF"/>
    <w:rsid w:val="6B34478C"/>
    <w:rsid w:val="6B361BA3"/>
    <w:rsid w:val="6B396A4E"/>
    <w:rsid w:val="6B4A7D29"/>
    <w:rsid w:val="6B696CF7"/>
    <w:rsid w:val="6B72790F"/>
    <w:rsid w:val="6B9B03C8"/>
    <w:rsid w:val="6B9D1EBD"/>
    <w:rsid w:val="6BA15BFA"/>
    <w:rsid w:val="6BA31BEA"/>
    <w:rsid w:val="6BAB5881"/>
    <w:rsid w:val="6BBA4514"/>
    <w:rsid w:val="6BCF2B0C"/>
    <w:rsid w:val="6BED187E"/>
    <w:rsid w:val="6BFD6455"/>
    <w:rsid w:val="6C1344A2"/>
    <w:rsid w:val="6C2243BC"/>
    <w:rsid w:val="6C292F4D"/>
    <w:rsid w:val="6C395C32"/>
    <w:rsid w:val="6C3B0106"/>
    <w:rsid w:val="6C432EDF"/>
    <w:rsid w:val="6C572B2D"/>
    <w:rsid w:val="6C7166A4"/>
    <w:rsid w:val="6C783EBB"/>
    <w:rsid w:val="6C7C4CC1"/>
    <w:rsid w:val="6C8C7B4D"/>
    <w:rsid w:val="6CD41C82"/>
    <w:rsid w:val="6CD4351C"/>
    <w:rsid w:val="6CDF2BDD"/>
    <w:rsid w:val="6CE24C62"/>
    <w:rsid w:val="6CE43996"/>
    <w:rsid w:val="6D22337A"/>
    <w:rsid w:val="6D2D2D3C"/>
    <w:rsid w:val="6D4764A3"/>
    <w:rsid w:val="6D5A39F6"/>
    <w:rsid w:val="6D9B2C14"/>
    <w:rsid w:val="6D9D0F00"/>
    <w:rsid w:val="6DC200FE"/>
    <w:rsid w:val="6DCE55AD"/>
    <w:rsid w:val="6DD100F6"/>
    <w:rsid w:val="6DE46F8B"/>
    <w:rsid w:val="6DEF229E"/>
    <w:rsid w:val="6DFE586E"/>
    <w:rsid w:val="6E02211F"/>
    <w:rsid w:val="6E23682E"/>
    <w:rsid w:val="6E49010F"/>
    <w:rsid w:val="6E692948"/>
    <w:rsid w:val="6E6E6D0F"/>
    <w:rsid w:val="6EAB067B"/>
    <w:rsid w:val="6EAD532A"/>
    <w:rsid w:val="6EB35F8B"/>
    <w:rsid w:val="6EC47B7F"/>
    <w:rsid w:val="6EDB4DCA"/>
    <w:rsid w:val="6EDD62D9"/>
    <w:rsid w:val="6F1B1912"/>
    <w:rsid w:val="6F4E17FF"/>
    <w:rsid w:val="6F794B97"/>
    <w:rsid w:val="6F7D3263"/>
    <w:rsid w:val="6F956C1D"/>
    <w:rsid w:val="6FC03ADB"/>
    <w:rsid w:val="6FCA72C6"/>
    <w:rsid w:val="70007E18"/>
    <w:rsid w:val="701174E3"/>
    <w:rsid w:val="7015565B"/>
    <w:rsid w:val="70416206"/>
    <w:rsid w:val="70513907"/>
    <w:rsid w:val="706608D0"/>
    <w:rsid w:val="70797E7D"/>
    <w:rsid w:val="708730E6"/>
    <w:rsid w:val="708E3D7B"/>
    <w:rsid w:val="70B50D61"/>
    <w:rsid w:val="70D43194"/>
    <w:rsid w:val="70F96D90"/>
    <w:rsid w:val="71033E08"/>
    <w:rsid w:val="710C7621"/>
    <w:rsid w:val="7110332B"/>
    <w:rsid w:val="71334978"/>
    <w:rsid w:val="716738BB"/>
    <w:rsid w:val="7172124E"/>
    <w:rsid w:val="717927BD"/>
    <w:rsid w:val="71AE0A66"/>
    <w:rsid w:val="71DC2239"/>
    <w:rsid w:val="71E46B2A"/>
    <w:rsid w:val="72005C8B"/>
    <w:rsid w:val="720C3FED"/>
    <w:rsid w:val="72236275"/>
    <w:rsid w:val="72252ED5"/>
    <w:rsid w:val="72474CC2"/>
    <w:rsid w:val="72484DA8"/>
    <w:rsid w:val="724A0097"/>
    <w:rsid w:val="72A902EC"/>
    <w:rsid w:val="72AE42E0"/>
    <w:rsid w:val="72BD5EDD"/>
    <w:rsid w:val="72C56908"/>
    <w:rsid w:val="72D1193A"/>
    <w:rsid w:val="72FE61B1"/>
    <w:rsid w:val="734A6177"/>
    <w:rsid w:val="735F4A68"/>
    <w:rsid w:val="736E0ED4"/>
    <w:rsid w:val="737D7742"/>
    <w:rsid w:val="737E5E09"/>
    <w:rsid w:val="73A76A81"/>
    <w:rsid w:val="73AF4E6F"/>
    <w:rsid w:val="73B14F3D"/>
    <w:rsid w:val="73B614BC"/>
    <w:rsid w:val="73C41022"/>
    <w:rsid w:val="73D713C9"/>
    <w:rsid w:val="73E575E4"/>
    <w:rsid w:val="73F67A82"/>
    <w:rsid w:val="740156F2"/>
    <w:rsid w:val="74036370"/>
    <w:rsid w:val="742E064D"/>
    <w:rsid w:val="743F314B"/>
    <w:rsid w:val="74412FAE"/>
    <w:rsid w:val="74462BF0"/>
    <w:rsid w:val="744672B8"/>
    <w:rsid w:val="744A26A1"/>
    <w:rsid w:val="745152B6"/>
    <w:rsid w:val="74562939"/>
    <w:rsid w:val="745642A6"/>
    <w:rsid w:val="748A7158"/>
    <w:rsid w:val="74BF7452"/>
    <w:rsid w:val="74D31F94"/>
    <w:rsid w:val="74D57457"/>
    <w:rsid w:val="74DB0611"/>
    <w:rsid w:val="74DE021D"/>
    <w:rsid w:val="74DE4CBB"/>
    <w:rsid w:val="74E554DA"/>
    <w:rsid w:val="752637EB"/>
    <w:rsid w:val="752C67D7"/>
    <w:rsid w:val="753C4384"/>
    <w:rsid w:val="754363C7"/>
    <w:rsid w:val="75585391"/>
    <w:rsid w:val="75705B73"/>
    <w:rsid w:val="75880FAD"/>
    <w:rsid w:val="75AA2D23"/>
    <w:rsid w:val="75B223E1"/>
    <w:rsid w:val="75B77925"/>
    <w:rsid w:val="75BB5C49"/>
    <w:rsid w:val="75C126DE"/>
    <w:rsid w:val="75CA74D8"/>
    <w:rsid w:val="75CC7030"/>
    <w:rsid w:val="75D8563F"/>
    <w:rsid w:val="75DF7C8A"/>
    <w:rsid w:val="75F16864"/>
    <w:rsid w:val="760521D9"/>
    <w:rsid w:val="76225E90"/>
    <w:rsid w:val="763D14E6"/>
    <w:rsid w:val="764D2D71"/>
    <w:rsid w:val="765C0130"/>
    <w:rsid w:val="766E371D"/>
    <w:rsid w:val="766F3E2F"/>
    <w:rsid w:val="76885F3C"/>
    <w:rsid w:val="7690778B"/>
    <w:rsid w:val="76A93B6F"/>
    <w:rsid w:val="76CF3AD3"/>
    <w:rsid w:val="76D32BE1"/>
    <w:rsid w:val="76F06637"/>
    <w:rsid w:val="770224EB"/>
    <w:rsid w:val="773233B0"/>
    <w:rsid w:val="773F576D"/>
    <w:rsid w:val="774928C7"/>
    <w:rsid w:val="774F1A79"/>
    <w:rsid w:val="775C5EB6"/>
    <w:rsid w:val="77744BAE"/>
    <w:rsid w:val="7778303B"/>
    <w:rsid w:val="77887235"/>
    <w:rsid w:val="77963A29"/>
    <w:rsid w:val="77A2177C"/>
    <w:rsid w:val="77AB4F66"/>
    <w:rsid w:val="77AC54E3"/>
    <w:rsid w:val="77AF456B"/>
    <w:rsid w:val="77BD21AF"/>
    <w:rsid w:val="77C169EA"/>
    <w:rsid w:val="77D233B0"/>
    <w:rsid w:val="77D3234E"/>
    <w:rsid w:val="77EF3149"/>
    <w:rsid w:val="77F26EEF"/>
    <w:rsid w:val="77F708B2"/>
    <w:rsid w:val="781607D7"/>
    <w:rsid w:val="78256A23"/>
    <w:rsid w:val="782759B8"/>
    <w:rsid w:val="782A6292"/>
    <w:rsid w:val="783106FE"/>
    <w:rsid w:val="783871BE"/>
    <w:rsid w:val="784F702F"/>
    <w:rsid w:val="785D3A63"/>
    <w:rsid w:val="7862691C"/>
    <w:rsid w:val="78651F46"/>
    <w:rsid w:val="787E21FC"/>
    <w:rsid w:val="788D3658"/>
    <w:rsid w:val="78B32589"/>
    <w:rsid w:val="78B51F54"/>
    <w:rsid w:val="78D20BE4"/>
    <w:rsid w:val="78E26CA1"/>
    <w:rsid w:val="78E5236E"/>
    <w:rsid w:val="78EE3AFC"/>
    <w:rsid w:val="78F13080"/>
    <w:rsid w:val="78F22D26"/>
    <w:rsid w:val="78FD3DB7"/>
    <w:rsid w:val="79005C44"/>
    <w:rsid w:val="790457CC"/>
    <w:rsid w:val="79074D19"/>
    <w:rsid w:val="790D7CFC"/>
    <w:rsid w:val="7919151D"/>
    <w:rsid w:val="791E3E1A"/>
    <w:rsid w:val="79291528"/>
    <w:rsid w:val="7929219B"/>
    <w:rsid w:val="792B428E"/>
    <w:rsid w:val="793A74F9"/>
    <w:rsid w:val="794E7681"/>
    <w:rsid w:val="796C3A3D"/>
    <w:rsid w:val="79A80153"/>
    <w:rsid w:val="79AA0A37"/>
    <w:rsid w:val="79B2187E"/>
    <w:rsid w:val="79D43305"/>
    <w:rsid w:val="79DA548B"/>
    <w:rsid w:val="79E478A3"/>
    <w:rsid w:val="7A302548"/>
    <w:rsid w:val="7A370AE8"/>
    <w:rsid w:val="7A901551"/>
    <w:rsid w:val="7AF34A8F"/>
    <w:rsid w:val="7B062D62"/>
    <w:rsid w:val="7B3A1D2C"/>
    <w:rsid w:val="7B3C6B5B"/>
    <w:rsid w:val="7B3E4BA5"/>
    <w:rsid w:val="7B5B09BC"/>
    <w:rsid w:val="7B7E1BCD"/>
    <w:rsid w:val="7B8A4CB2"/>
    <w:rsid w:val="7B8F5A11"/>
    <w:rsid w:val="7B900B1A"/>
    <w:rsid w:val="7BA055EC"/>
    <w:rsid w:val="7BC1033E"/>
    <w:rsid w:val="7BC97500"/>
    <w:rsid w:val="7BF338C2"/>
    <w:rsid w:val="7C256D75"/>
    <w:rsid w:val="7C267B39"/>
    <w:rsid w:val="7C4B4D08"/>
    <w:rsid w:val="7C673EF1"/>
    <w:rsid w:val="7C734CDF"/>
    <w:rsid w:val="7CA20927"/>
    <w:rsid w:val="7CA22776"/>
    <w:rsid w:val="7CA6098B"/>
    <w:rsid w:val="7CA97AAB"/>
    <w:rsid w:val="7CC60FC2"/>
    <w:rsid w:val="7CEF095B"/>
    <w:rsid w:val="7D006390"/>
    <w:rsid w:val="7D1A5722"/>
    <w:rsid w:val="7D1C0AAC"/>
    <w:rsid w:val="7D22081F"/>
    <w:rsid w:val="7D395C80"/>
    <w:rsid w:val="7D676D7A"/>
    <w:rsid w:val="7D704F9B"/>
    <w:rsid w:val="7D864A03"/>
    <w:rsid w:val="7D874EAA"/>
    <w:rsid w:val="7DB16F01"/>
    <w:rsid w:val="7DB42B15"/>
    <w:rsid w:val="7DC60F15"/>
    <w:rsid w:val="7DD222FD"/>
    <w:rsid w:val="7DD6430C"/>
    <w:rsid w:val="7DDF0FE3"/>
    <w:rsid w:val="7DE22952"/>
    <w:rsid w:val="7DF42792"/>
    <w:rsid w:val="7DFF5150"/>
    <w:rsid w:val="7E057575"/>
    <w:rsid w:val="7E176C41"/>
    <w:rsid w:val="7E2C1DE4"/>
    <w:rsid w:val="7E3358AB"/>
    <w:rsid w:val="7E3B5A37"/>
    <w:rsid w:val="7E794CC5"/>
    <w:rsid w:val="7E7D7FB5"/>
    <w:rsid w:val="7E803256"/>
    <w:rsid w:val="7E820EB6"/>
    <w:rsid w:val="7EAA2AE4"/>
    <w:rsid w:val="7EAD0C39"/>
    <w:rsid w:val="7EF73A9E"/>
    <w:rsid w:val="7F27607D"/>
    <w:rsid w:val="7F2F56A1"/>
    <w:rsid w:val="7F472F0E"/>
    <w:rsid w:val="7F5A4162"/>
    <w:rsid w:val="7F6A152A"/>
    <w:rsid w:val="7F6D7814"/>
    <w:rsid w:val="7F7211E6"/>
    <w:rsid w:val="7F7B0092"/>
    <w:rsid w:val="7F8503B6"/>
    <w:rsid w:val="7F955A9A"/>
    <w:rsid w:val="7F977581"/>
    <w:rsid w:val="7F9B0B4B"/>
    <w:rsid w:val="7FBE3141"/>
    <w:rsid w:val="7FCF79DD"/>
    <w:rsid w:val="7FD27240"/>
    <w:rsid w:val="7FE942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3A7C1B"/>
  <w15:chartTrackingRefBased/>
  <w15:docId w15:val="{D0D566EF-2C85-4902-8495-A53A70828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1"/>
    <w:lsdException w:name="caption" w:qFormat="1"/>
    <w:lsdException w:name="Title" w:qFormat="1"/>
    <w:lsdException w:name="Default Paragraph Font" w:semiHidden="1"/>
    <w:lsdException w:name="Body Text" w:uiPriority="99"/>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82A11"/>
    <w:pPr>
      <w:overflowPunct w:val="0"/>
      <w:autoSpaceDE w:val="0"/>
      <w:autoSpaceDN w:val="0"/>
      <w:adjustRightInd w:val="0"/>
      <w:spacing w:after="180"/>
    </w:pPr>
    <w:rPr>
      <w:rFonts w:eastAsia="Times New Roman"/>
      <w:lang w:val="en-GB" w:eastAsia="ja-JP"/>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semiHidden/>
  </w:style>
  <w:style w:type="table" w:default="1" w:styleId="a1">
    <w:name w:val="Normal Table"/>
    <w:semiHidden/>
    <w:tblPr>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rPr>
      <w:color w:val="800080"/>
      <w:u w:val="single"/>
    </w:rPr>
  </w:style>
  <w:style w:type="character" w:styleId="a4">
    <w:name w:val="Hyperlink"/>
    <w:rPr>
      <w:color w:val="0000FF"/>
      <w:u w:val="single"/>
    </w:rPr>
  </w:style>
  <w:style w:type="character" w:styleId="a5">
    <w:name w:val="annotation reference"/>
    <w:rPr>
      <w:sz w:val="16"/>
    </w:rPr>
  </w:style>
  <w:style w:type="character" w:styleId="a6">
    <w:name w:val="footnote reference"/>
    <w:rPr>
      <w:b/>
      <w:position w:val="6"/>
      <w:sz w:val="16"/>
    </w:rPr>
  </w:style>
  <w:style w:type="character" w:customStyle="1" w:styleId="a7">
    <w:name w:val="正文文本 字符"/>
    <w:link w:val="a8"/>
    <w:uiPriority w:val="99"/>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B2Char">
    <w:name w:val="B2 Char"/>
    <w:link w:val="B2"/>
    <w:qFormat/>
    <w:rPr>
      <w:rFonts w:ascii="Times New Roman" w:hAnsi="Times New Roman"/>
      <w:lang w:val="en-GB"/>
    </w:rPr>
  </w:style>
  <w:style w:type="character" w:customStyle="1" w:styleId="TACChar">
    <w:name w:val="TAC Char"/>
    <w:link w:val="TAC"/>
    <w:qFormat/>
    <w:rPr>
      <w:rFonts w:ascii="Arial" w:hAnsi="Arial"/>
      <w:sz w:val="18"/>
      <w:lang w:val="en-GB"/>
    </w:rPr>
  </w:style>
  <w:style w:type="character" w:customStyle="1" w:styleId="GuidanceChar">
    <w:name w:val="Guidance Char"/>
    <w:link w:val="Guidance"/>
    <w:rPr>
      <w:rFonts w:ascii="Times New Roman" w:hAnsi="Times New Roman"/>
      <w:i/>
      <w:color w:val="0000FF"/>
      <w:lang w:val="en-GB"/>
    </w:rPr>
  </w:style>
  <w:style w:type="character" w:customStyle="1" w:styleId="a9">
    <w:name w:val="批注框文本 字符"/>
    <w:link w:val="aa"/>
    <w:rPr>
      <w:rFonts w:ascii="Tahoma" w:hAnsi="Tahoma" w:cs="Tahoma"/>
      <w:sz w:val="16"/>
      <w:szCs w:val="16"/>
      <w:lang w:val="en-GB"/>
    </w:rPr>
  </w:style>
  <w:style w:type="character" w:customStyle="1" w:styleId="40">
    <w:name w:val="标题 4 字符"/>
    <w:link w:val="4"/>
    <w:rPr>
      <w:rFonts w:ascii="Arial" w:hAnsi="Arial"/>
      <w:sz w:val="24"/>
      <w:lang w:val="en-GB"/>
    </w:rPr>
  </w:style>
  <w:style w:type="character" w:customStyle="1" w:styleId="TALCar">
    <w:name w:val="TAL Car"/>
    <w:qFormat/>
    <w:rPr>
      <w:rFonts w:ascii="Arial" w:hAnsi="Arial"/>
      <w:sz w:val="18"/>
      <w:lang w:val="en-GB"/>
    </w:rPr>
  </w:style>
  <w:style w:type="character" w:customStyle="1" w:styleId="TFChar">
    <w:name w:val="TF Char"/>
    <w:link w:val="TF"/>
    <w:rPr>
      <w:rFonts w:ascii="Arial" w:hAnsi="Arial"/>
      <w:b/>
      <w:lang w:val="en-GB"/>
    </w:rPr>
  </w:style>
  <w:style w:type="character" w:customStyle="1" w:styleId="UnresolvedMention">
    <w:name w:val="Unresolved Mention"/>
    <w:uiPriority w:val="99"/>
    <w:unhideWhenUsed/>
    <w:rPr>
      <w:color w:val="808080"/>
      <w:shd w:val="clear" w:color="auto" w:fill="E6E6E6"/>
    </w:rPr>
  </w:style>
  <w:style w:type="character" w:customStyle="1" w:styleId="30">
    <w:name w:val="标题 3 字符"/>
    <w:link w:val="3"/>
    <w:rPr>
      <w:rFonts w:ascii="Arial" w:hAnsi="Arial"/>
      <w:sz w:val="28"/>
      <w:lang w:val="en-GB"/>
    </w:rPr>
  </w:style>
  <w:style w:type="character" w:customStyle="1" w:styleId="ab">
    <w:name w:val="文档结构图 字符"/>
    <w:link w:val="ac"/>
    <w:rPr>
      <w:rFonts w:ascii="Tahoma" w:hAnsi="Tahoma" w:cs="Tahoma"/>
      <w:shd w:val="clear" w:color="auto" w:fill="000080"/>
      <w:lang w:val="en-GB"/>
    </w:rPr>
  </w:style>
  <w:style w:type="character" w:customStyle="1" w:styleId="EXChar">
    <w:name w:val="EX Char"/>
    <w:link w:val="EX"/>
    <w:rPr>
      <w:rFonts w:ascii="Times New Roman" w:hAnsi="Times New Roman"/>
      <w:lang w:val="en-GB"/>
    </w:rPr>
  </w:style>
  <w:style w:type="character" w:customStyle="1" w:styleId="TAHCar">
    <w:name w:val="TAH Car"/>
    <w:link w:val="TAH"/>
    <w:qFormat/>
    <w:rPr>
      <w:rFonts w:ascii="Arial" w:hAnsi="Arial"/>
      <w:b/>
      <w:sz w:val="18"/>
      <w:lang w:val="en-GB"/>
    </w:rPr>
  </w:style>
  <w:style w:type="character" w:customStyle="1" w:styleId="20">
    <w:name w:val="标题 2 字符"/>
    <w:link w:val="2"/>
    <w:rPr>
      <w:rFonts w:ascii="Arial" w:hAnsi="Arial"/>
      <w:sz w:val="32"/>
      <w:lang w:val="en-GB"/>
    </w:rPr>
  </w:style>
  <w:style w:type="character" w:customStyle="1" w:styleId="ad">
    <w:name w:val="批注文字 字符"/>
    <w:link w:val="ae"/>
    <w:rPr>
      <w:rFonts w:ascii="Times New Roman" w:hAnsi="Times New Roman"/>
      <w:lang w:val="en-GB"/>
    </w:rPr>
  </w:style>
  <w:style w:type="character" w:customStyle="1" w:styleId="ZGSM">
    <w:name w:val="ZGSM"/>
  </w:style>
  <w:style w:type="character" w:customStyle="1" w:styleId="TALChar">
    <w:name w:val="TAL Char"/>
    <w:link w:val="TAL"/>
    <w:rPr>
      <w:rFonts w:ascii="Arial" w:hAnsi="Arial"/>
      <w:sz w:val="18"/>
      <w:lang w:val="en-GB"/>
    </w:rPr>
  </w:style>
  <w:style w:type="character" w:customStyle="1" w:styleId="B3Char2">
    <w:name w:val="B3 Char2"/>
    <w:link w:val="B3"/>
    <w:rPr>
      <w:rFonts w:ascii="Times New Roman" w:hAnsi="Times New Roman"/>
      <w:lang w:val="en-GB"/>
    </w:rPr>
  </w:style>
  <w:style w:type="character" w:customStyle="1" w:styleId="THChar">
    <w:name w:val="TH Char"/>
    <w:link w:val="TH"/>
    <w:qFormat/>
    <w:rPr>
      <w:rFonts w:ascii="Arial" w:hAnsi="Arial"/>
      <w:b/>
      <w:lang w:val="en-GB"/>
    </w:rPr>
  </w:style>
  <w:style w:type="character" w:customStyle="1" w:styleId="NOChar">
    <w:name w:val="NO Char"/>
    <w:link w:val="NO"/>
    <w:rPr>
      <w:rFonts w:ascii="Times New Roman" w:hAnsi="Times New Roman"/>
      <w:lang w:val="en-GB"/>
    </w:rPr>
  </w:style>
  <w:style w:type="character" w:customStyle="1" w:styleId="msoins0">
    <w:name w:val="msoins"/>
  </w:style>
  <w:style w:type="character" w:customStyle="1" w:styleId="B1Char">
    <w:name w:val="B1 Char"/>
    <w:link w:val="B1"/>
    <w:qFormat/>
    <w:rPr>
      <w:rFonts w:ascii="Times New Roman" w:hAnsi="Times New Roman"/>
      <w:lang w:val="en-GB"/>
    </w:rPr>
  </w:style>
  <w:style w:type="character" w:customStyle="1" w:styleId="af">
    <w:name w:val="批注主题 字符"/>
    <w:link w:val="af0"/>
    <w:rPr>
      <w:rFonts w:ascii="Times New Roman" w:hAnsi="Times New Roman"/>
      <w:b/>
      <w:bCs/>
      <w:lang w:val="en-GB"/>
    </w:rPr>
  </w:style>
  <w:style w:type="paragraph" w:styleId="af1">
    <w:name w:val="caption"/>
    <w:basedOn w:val="a"/>
    <w:next w:val="a"/>
    <w:qFormat/>
    <w:rPr>
      <w:b/>
      <w:bCs/>
    </w:rPr>
  </w:style>
  <w:style w:type="paragraph" w:styleId="aa">
    <w:name w:val="Balloon Text"/>
    <w:basedOn w:val="a"/>
    <w:link w:val="a9"/>
    <w:rPr>
      <w:rFonts w:ascii="Tahoma" w:hAnsi="Tahoma"/>
      <w:sz w:val="16"/>
      <w:szCs w:val="16"/>
    </w:rPr>
  </w:style>
  <w:style w:type="paragraph" w:customStyle="1" w:styleId="NO">
    <w:name w:val="NO"/>
    <w:basedOn w:val="a"/>
    <w:link w:val="NOChar"/>
    <w:pPr>
      <w:keepLines/>
      <w:ind w:left="1135" w:hanging="851"/>
    </w:pPr>
  </w:style>
  <w:style w:type="paragraph" w:styleId="ac">
    <w:name w:val="Document Map"/>
    <w:basedOn w:val="a"/>
    <w:link w:val="ab"/>
    <w:pPr>
      <w:shd w:val="clear" w:color="auto" w:fill="000080"/>
    </w:pPr>
    <w:rPr>
      <w:rFonts w:ascii="Tahoma" w:hAnsi="Tahoma"/>
    </w:rPr>
  </w:style>
  <w:style w:type="paragraph" w:styleId="af2">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f3"/>
    <w:pPr>
      <w:widowControl w:val="0"/>
    </w:pPr>
    <w:rPr>
      <w:rFonts w:ascii="Arial" w:hAnsi="Arial"/>
      <w:b/>
      <w:sz w:val="18"/>
      <w:lang w:eastAsia="en-US"/>
    </w:rPr>
  </w:style>
  <w:style w:type="paragraph" w:styleId="af4">
    <w:name w:val="Revision"/>
    <w:uiPriority w:val="99"/>
    <w:semiHidden/>
    <w:rPr>
      <w:lang w:val="en-GB" w:eastAsia="en-US"/>
    </w:rPr>
  </w:style>
  <w:style w:type="paragraph" w:styleId="50">
    <w:name w:val="List Bullet 5"/>
    <w:basedOn w:val="41"/>
    <w:pPr>
      <w:ind w:left="1702"/>
    </w:pPr>
  </w:style>
  <w:style w:type="paragraph" w:styleId="af5">
    <w:name w:val="List"/>
    <w:basedOn w:val="a"/>
    <w:pPr>
      <w:ind w:left="568" w:hanging="284"/>
    </w:pPr>
  </w:style>
  <w:style w:type="paragraph" w:styleId="a8">
    <w:name w:val="Body Text"/>
    <w:basedOn w:val="a"/>
    <w:link w:val="a7"/>
    <w:uiPriority w:val="99"/>
    <w:pPr>
      <w:spacing w:after="120"/>
    </w:pPr>
  </w:style>
  <w:style w:type="paragraph" w:styleId="af0">
    <w:name w:val="annotation subject"/>
    <w:basedOn w:val="ae"/>
    <w:next w:val="ae"/>
    <w:link w:val="af"/>
    <w:rPr>
      <w:b/>
      <w:bCs/>
    </w:rPr>
  </w:style>
  <w:style w:type="paragraph" w:styleId="21">
    <w:name w:val="目录 2"/>
    <w:basedOn w:val="10"/>
    <w:uiPriority w:val="39"/>
    <w:pPr>
      <w:keepNext w:val="0"/>
      <w:spacing w:before="0"/>
      <w:ind w:left="851" w:hanging="851"/>
    </w:pPr>
    <w:rPr>
      <w:sz w:val="20"/>
    </w:rPr>
  </w:style>
  <w:style w:type="paragraph" w:styleId="42">
    <w:name w:val="目录 4"/>
    <w:basedOn w:val="31"/>
    <w:uiPriority w:val="39"/>
    <w:pPr>
      <w:ind w:left="1418" w:hanging="1418"/>
    </w:pPr>
  </w:style>
  <w:style w:type="paragraph" w:customStyle="1" w:styleId="TH">
    <w:name w:val="TH"/>
    <w:basedOn w:val="a"/>
    <w:link w:val="THChar"/>
    <w:qFormat/>
    <w:pPr>
      <w:keepNext/>
      <w:keepLines/>
      <w:spacing w:before="60"/>
      <w:jc w:val="center"/>
    </w:pPr>
    <w:rPr>
      <w:rFonts w:ascii="Arial" w:hAnsi="Arial"/>
      <w:b/>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1"/>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EX">
    <w:name w:val="EX"/>
    <w:basedOn w:val="a"/>
    <w:link w:val="EXChar"/>
    <w:pPr>
      <w:keepLines/>
      <w:ind w:left="1702" w:hanging="1418"/>
    </w:p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H6">
    <w:name w:val="H6"/>
    <w:basedOn w:val="5"/>
    <w:next w:val="a"/>
    <w:pPr>
      <w:ind w:left="1985" w:hanging="1985"/>
      <w:outlineLvl w:val="9"/>
    </w:pPr>
    <w:rPr>
      <w:sz w:val="20"/>
    </w:rPr>
  </w:style>
  <w:style w:type="paragraph" w:styleId="41">
    <w:name w:val="List Bullet 4"/>
    <w:basedOn w:val="32"/>
    <w:pPr>
      <w:ind w:left="1418"/>
    </w:pPr>
  </w:style>
  <w:style w:type="paragraph" w:styleId="af6">
    <w:name w:val="Normal (Web)"/>
    <w:basedOn w:val="a"/>
    <w:pPr>
      <w:spacing w:before="100" w:beforeAutospacing="1" w:after="100" w:afterAutospacing="1"/>
    </w:pPr>
    <w:rPr>
      <w:sz w:val="24"/>
      <w:lang w:val="en-US" w:eastAsia="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22">
    <w:name w:val="List Number 2"/>
    <w:basedOn w:val="af7"/>
    <w:pPr>
      <w:ind w:left="851"/>
    </w:pPr>
  </w:style>
  <w:style w:type="paragraph" w:styleId="43">
    <w:name w:val="List 4"/>
    <w:basedOn w:val="33"/>
    <w:pPr>
      <w:ind w:left="1418"/>
    </w:pPr>
  </w:style>
  <w:style w:type="paragraph" w:styleId="23">
    <w:name w:val="List 2"/>
    <w:basedOn w:val="af5"/>
    <w:pPr>
      <w:ind w:left="851"/>
    </w:pPr>
  </w:style>
  <w:style w:type="paragraph" w:styleId="51">
    <w:name w:val="List 5"/>
    <w:basedOn w:val="43"/>
    <w:pPr>
      <w:ind w:left="1702"/>
    </w:pPr>
  </w:style>
  <w:style w:type="paragraph" w:styleId="32">
    <w:name w:val="List Bullet 3"/>
    <w:basedOn w:val="24"/>
    <w:pPr>
      <w:ind w:left="1135"/>
    </w:pPr>
  </w:style>
  <w:style w:type="paragraph" w:styleId="33">
    <w:name w:val="List 3"/>
    <w:basedOn w:val="23"/>
    <w:pPr>
      <w:ind w:left="1135"/>
    </w:pPr>
  </w:style>
  <w:style w:type="paragraph" w:styleId="ae">
    <w:name w:val="annotation text"/>
    <w:basedOn w:val="a"/>
    <w:link w:val="ad"/>
  </w:style>
  <w:style w:type="paragraph" w:styleId="10">
    <w:name w:val="目录 1"/>
    <w:uiPriority w:val="39"/>
    <w:pPr>
      <w:keepNext/>
      <w:keepLines/>
      <w:widowControl w:val="0"/>
      <w:tabs>
        <w:tab w:val="right" w:leader="dot" w:pos="9639"/>
      </w:tabs>
      <w:spacing w:before="120"/>
      <w:ind w:left="567" w:right="425" w:hanging="567"/>
    </w:pPr>
    <w:rPr>
      <w:sz w:val="22"/>
      <w:lang w:val="en-GB" w:eastAsia="en-US"/>
    </w:rPr>
  </w:style>
  <w:style w:type="paragraph" w:customStyle="1" w:styleId="ZV">
    <w:name w:val="ZV"/>
    <w:basedOn w:val="ZU"/>
    <w:pPr>
      <w:framePr w:wrap="notBeside" w:y="16161"/>
    </w:pPr>
  </w:style>
  <w:style w:type="paragraph" w:customStyle="1" w:styleId="ZTD">
    <w:name w:val="ZTD"/>
    <w:basedOn w:val="ZB"/>
    <w:pPr>
      <w:framePr w:hRule="auto" w:wrap="notBeside" w:y="852"/>
    </w:pPr>
    <w:rPr>
      <w:i w:val="0"/>
      <w:sz w:val="40"/>
    </w:rPr>
  </w:style>
  <w:style w:type="paragraph" w:styleId="af8">
    <w:name w:val="List Bullet"/>
    <w:basedOn w:val="af5"/>
    <w:pPr>
      <w:ind w:left="0" w:firstLine="0"/>
    </w:pPr>
  </w:style>
  <w:style w:type="paragraph" w:customStyle="1" w:styleId="EW">
    <w:name w:val="EW"/>
    <w:basedOn w:val="EX"/>
    <w:pPr>
      <w:spacing w:after="0"/>
    </w:pPr>
  </w:style>
  <w:style w:type="paragraph" w:styleId="af7">
    <w:name w:val="List Number"/>
    <w:basedOn w:val="af5"/>
    <w:pPr>
      <w:ind w:left="0" w:firstLine="0"/>
    </w:pPr>
  </w:style>
  <w:style w:type="paragraph" w:styleId="25">
    <w:name w:val="index 2"/>
    <w:basedOn w:val="11"/>
    <w:semiHidden/>
    <w:pPr>
      <w:ind w:left="284"/>
    </w:pPr>
  </w:style>
  <w:style w:type="paragraph" w:styleId="80">
    <w:name w:val="目录 8"/>
    <w:basedOn w:val="10"/>
    <w:uiPriority w:val="39"/>
    <w:pPr>
      <w:spacing w:before="180"/>
      <w:ind w:left="2693" w:hanging="2693"/>
    </w:pPr>
    <w:rPr>
      <w:b/>
    </w:rPr>
  </w:style>
  <w:style w:type="paragraph" w:styleId="24">
    <w:name w:val="List Bullet 2"/>
    <w:basedOn w:val="af8"/>
    <w:pPr>
      <w:ind w:left="851"/>
    </w:pPr>
  </w:style>
  <w:style w:type="paragraph" w:styleId="31">
    <w:name w:val="目录 3"/>
    <w:basedOn w:val="21"/>
    <w:uiPriority w:val="39"/>
    <w:pPr>
      <w:ind w:left="1134" w:hanging="1134"/>
    </w:pPr>
  </w:style>
  <w:style w:type="paragraph" w:styleId="60">
    <w:name w:val="目录 6"/>
    <w:basedOn w:val="52"/>
    <w:next w:val="a"/>
    <w:uiPriority w:val="39"/>
    <w:pPr>
      <w:ind w:left="1985" w:hanging="1985"/>
    </w:pPr>
  </w:style>
  <w:style w:type="paragraph" w:customStyle="1" w:styleId="LD">
    <w:name w:val="LD"/>
    <w:pPr>
      <w:keepNext/>
      <w:keepLines/>
      <w:spacing w:line="180" w:lineRule="exact"/>
    </w:pPr>
    <w:rPr>
      <w:rFonts w:ascii="MS LineDraw" w:hAnsi="MS LineDraw"/>
      <w:lang w:val="en-GB" w:eastAsia="en-US"/>
    </w:rPr>
  </w:style>
  <w:style w:type="paragraph" w:styleId="af9">
    <w:name w:val="footer"/>
    <w:basedOn w:val="af2"/>
    <w:pPr>
      <w:jc w:val="center"/>
    </w:pPr>
    <w:rPr>
      <w:i/>
    </w:rPr>
  </w:style>
  <w:style w:type="paragraph" w:customStyle="1" w:styleId="EQ">
    <w:name w:val="EQ"/>
    <w:basedOn w:val="a"/>
    <w:next w:val="a"/>
    <w:pPr>
      <w:keepLines/>
      <w:tabs>
        <w:tab w:val="center" w:pos="4536"/>
        <w:tab w:val="right" w:pos="9072"/>
      </w:tabs>
    </w:pPr>
    <w:rPr>
      <w:lang w:val="en-US" w:eastAsia="zh-CN"/>
    </w:rPr>
  </w:style>
  <w:style w:type="paragraph" w:styleId="70">
    <w:name w:val="目录 7"/>
    <w:basedOn w:val="60"/>
    <w:next w:val="a"/>
    <w:uiPriority w:val="39"/>
    <w:pPr>
      <w:ind w:left="2268" w:hanging="2268"/>
    </w:pPr>
  </w:style>
  <w:style w:type="paragraph" w:styleId="52">
    <w:name w:val="目录 5"/>
    <w:basedOn w:val="42"/>
    <w:uiPriority w:val="39"/>
    <w:pPr>
      <w:ind w:left="1701" w:hanging="1701"/>
    </w:pPr>
  </w:style>
  <w:style w:type="paragraph" w:styleId="90">
    <w:name w:val="目录 9"/>
    <w:basedOn w:val="80"/>
    <w:uiPriority w:val="39"/>
    <w:pPr>
      <w:ind w:left="1418" w:hanging="1418"/>
    </w:pPr>
  </w:style>
  <w:style w:type="paragraph" w:customStyle="1" w:styleId="TAL">
    <w:name w:val="TAL"/>
    <w:basedOn w:val="a"/>
    <w:link w:val="TALChar"/>
    <w:qFormat/>
    <w:pPr>
      <w:keepNext/>
      <w:keepLines/>
      <w:spacing w:after="0"/>
    </w:pPr>
    <w:rPr>
      <w:rFonts w:ascii="Arial" w:hAnsi="Arial"/>
      <w:sz w:val="18"/>
    </w:rPr>
  </w:style>
  <w:style w:type="paragraph" w:customStyle="1" w:styleId="NW">
    <w:name w:val="NW"/>
    <w:basedOn w:val="NO"/>
    <w:pPr>
      <w:spacing w:after="0"/>
    </w:pPr>
  </w:style>
  <w:style w:type="paragraph" w:styleId="11">
    <w:name w:val="index 1"/>
    <w:basedOn w:val="a"/>
    <w:semiHidden/>
    <w:pPr>
      <w:keepLines/>
      <w:spacing w:after="0"/>
    </w:pPr>
  </w:style>
  <w:style w:type="paragraph" w:styleId="afa">
    <w:name w:val="footnote text"/>
    <w:basedOn w:val="a"/>
    <w:semiHidden/>
    <w:pPr>
      <w:keepLines/>
      <w:spacing w:after="0"/>
      <w:ind w:left="454" w:hanging="454"/>
    </w:pPr>
    <w:rPr>
      <w:sz w:val="16"/>
    </w:rPr>
  </w:style>
  <w:style w:type="paragraph" w:customStyle="1" w:styleId="TableText">
    <w:name w:val="TableText"/>
    <w:basedOn w:val="a"/>
    <w:pPr>
      <w:keepNext/>
      <w:keepLines/>
      <w:jc w:val="center"/>
      <w:textAlignment w:val="baseline"/>
    </w:pPr>
    <w:rPr>
      <w:snapToGrid w:val="0"/>
      <w:kern w:val="2"/>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EditorsNote">
    <w:name w:val="Editor's Note"/>
    <w:basedOn w:val="NO"/>
    <w:rPr>
      <w:color w:val="FF0000"/>
    </w:rPr>
  </w:style>
  <w:style w:type="paragraph" w:customStyle="1" w:styleId="3GPPHeader">
    <w:name w:val="3GPP_Header"/>
    <w:basedOn w:val="a"/>
    <w:pPr>
      <w:tabs>
        <w:tab w:val="left" w:pos="1701"/>
        <w:tab w:val="right" w:pos="9639"/>
      </w:tabs>
      <w:spacing w:after="240"/>
      <w:jc w:val="both"/>
      <w:textAlignment w:val="baseline"/>
    </w:pPr>
    <w:rPr>
      <w:rFonts w:ascii="Arial" w:eastAsia="宋体" w:hAnsi="Arial"/>
      <w:b/>
      <w:sz w:val="24"/>
      <w:lang w:eastAsia="zh-CN"/>
    </w:rPr>
  </w:style>
  <w:style w:type="paragraph" w:customStyle="1" w:styleId="B3">
    <w:name w:val="B3"/>
    <w:basedOn w:val="33"/>
    <w:link w:val="B3Char2"/>
  </w:style>
  <w:style w:type="paragraph" w:customStyle="1" w:styleId="tdoc-header">
    <w:name w:val="tdoc-header"/>
    <w:rPr>
      <w:rFonts w:ascii="Arial" w:hAnsi="Arial"/>
      <w:sz w:val="24"/>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R">
    <w:name w:val="TAR"/>
    <w:basedOn w:val="TAL"/>
    <w:pPr>
      <w:jc w:val="right"/>
    </w:pPr>
  </w:style>
  <w:style w:type="paragraph" w:customStyle="1" w:styleId="B1">
    <w:name w:val="B1"/>
    <w:basedOn w:val="af5"/>
    <w:link w:val="B1Cha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Default">
    <w:name w:val="Default"/>
    <w:pPr>
      <w:autoSpaceDE w:val="0"/>
      <w:autoSpaceDN w:val="0"/>
      <w:adjustRightInd w:val="0"/>
    </w:pPr>
    <w:rPr>
      <w:rFonts w:ascii="Arial" w:hAnsi="Arial" w:cs="Arial"/>
      <w:color w:val="000000"/>
      <w:sz w:val="24"/>
      <w:szCs w:val="24"/>
      <w:lang w:val="fi-FI" w:eastAsia="fi-FI"/>
    </w:rPr>
  </w:style>
  <w:style w:type="paragraph" w:customStyle="1" w:styleId="NF">
    <w:name w:val="NF"/>
    <w:basedOn w:val="NO"/>
    <w:pPr>
      <w:keepNext/>
      <w:spacing w:after="0"/>
    </w:pPr>
    <w:rPr>
      <w:rFonts w:ascii="Arial" w:hAnsi="Arial"/>
      <w:sz w:val="18"/>
    </w:rPr>
  </w:style>
  <w:style w:type="paragraph" w:customStyle="1" w:styleId="FP">
    <w:name w:val="FP"/>
    <w:basedOn w:val="a"/>
    <w:pPr>
      <w:spacing w:after="0"/>
    </w:pPr>
  </w:style>
  <w:style w:type="paragraph" w:customStyle="1" w:styleId="Guidance">
    <w:name w:val="Guidance"/>
    <w:basedOn w:val="a"/>
    <w:link w:val="GuidanceChar"/>
    <w:rPr>
      <w:i/>
      <w:color w:val="0000FF"/>
    </w:rPr>
  </w:style>
  <w:style w:type="paragraph" w:customStyle="1" w:styleId="TAJ">
    <w:name w:val="TAJ"/>
    <w:basedOn w:val="TH"/>
  </w:style>
  <w:style w:type="paragraph" w:customStyle="1" w:styleId="B2">
    <w:name w:val="B2"/>
    <w:basedOn w:val="23"/>
    <w:link w:val="B2Char"/>
  </w:style>
  <w:style w:type="paragraph" w:customStyle="1" w:styleId="CRCoverPage">
    <w:name w:val="CR Cover Page"/>
    <w:link w:val="CRCoverPageChar"/>
    <w:qFormat/>
    <w:pPr>
      <w:spacing w:after="120"/>
    </w:pPr>
    <w:rPr>
      <w:rFonts w:ascii="Arial" w:hAnsi="Arial"/>
      <w:lang w:val="en-GB" w:eastAsia="en-US"/>
    </w:rPr>
  </w:style>
  <w:style w:type="paragraph" w:customStyle="1" w:styleId="TF">
    <w:name w:val="TF"/>
    <w:basedOn w:val="TH"/>
    <w:link w:val="TFChar"/>
    <w:pPr>
      <w:keepNext w:val="0"/>
      <w:spacing w:before="0" w:after="240"/>
    </w:pPr>
  </w:style>
  <w:style w:type="paragraph" w:customStyle="1" w:styleId="B4">
    <w:name w:val="B4"/>
    <w:basedOn w:val="43"/>
  </w:style>
  <w:style w:type="paragraph" w:customStyle="1" w:styleId="TAN">
    <w:name w:val="TAN"/>
    <w:basedOn w:val="TAL"/>
    <w:link w:val="TANChar"/>
    <w:qFormat/>
    <w:pPr>
      <w:ind w:left="851" w:hanging="851"/>
    </w:pPr>
  </w:style>
  <w:style w:type="table" w:styleId="afb">
    <w:name w:val="Table Grid"/>
    <w:basedOn w:val="a1"/>
    <w:rsid w:val="000B55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2C3545"/>
    <w:rPr>
      <w:rFonts w:ascii="Arial" w:hAnsi="Arial"/>
      <w:lang w:val="en-GB" w:eastAsia="en-US"/>
    </w:rPr>
  </w:style>
  <w:style w:type="paragraph" w:styleId="afc">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
    <w:basedOn w:val="a"/>
    <w:link w:val="afd"/>
    <w:uiPriority w:val="34"/>
    <w:qFormat/>
    <w:rsid w:val="00BB69C2"/>
    <w:pPr>
      <w:spacing w:after="0"/>
      <w:ind w:firstLineChars="200" w:firstLine="420"/>
    </w:pPr>
    <w:rPr>
      <w:rFonts w:ascii="宋体" w:hAnsi="宋体" w:cs="宋体"/>
      <w:sz w:val="24"/>
      <w:szCs w:val="24"/>
      <w:lang w:val="en-US" w:eastAsia="zh-CN"/>
    </w:rPr>
  </w:style>
  <w:style w:type="character" w:customStyle="1" w:styleId="af3">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2"/>
    <w:rsid w:val="00543D75"/>
    <w:rPr>
      <w:rFonts w:ascii="Arial" w:hAnsi="Arial"/>
      <w:b/>
      <w:sz w:val="18"/>
      <w:lang w:val="en-GB" w:eastAsia="en-US"/>
    </w:rPr>
  </w:style>
  <w:style w:type="paragraph" w:customStyle="1" w:styleId="src">
    <w:name w:val="src"/>
    <w:basedOn w:val="a"/>
    <w:rsid w:val="00093832"/>
    <w:pPr>
      <w:spacing w:before="100" w:beforeAutospacing="1" w:after="100" w:afterAutospacing="1"/>
    </w:pPr>
    <w:rPr>
      <w:rFonts w:ascii="宋体" w:hAnsi="宋体" w:cs="宋体"/>
      <w:sz w:val="24"/>
      <w:szCs w:val="24"/>
      <w:lang w:val="en-US" w:eastAsia="zh-CN"/>
    </w:rPr>
  </w:style>
  <w:style w:type="paragraph" w:customStyle="1" w:styleId="Style0">
    <w:name w:val="_Style 0"/>
    <w:uiPriority w:val="1"/>
    <w:qFormat/>
    <w:rsid w:val="00562F82"/>
    <w:pPr>
      <w:widowControl w:val="0"/>
      <w:jc w:val="both"/>
    </w:pPr>
    <w:rPr>
      <w:kern w:val="2"/>
      <w:sz w:val="21"/>
      <w:szCs w:val="24"/>
    </w:rPr>
  </w:style>
  <w:style w:type="character" w:customStyle="1" w:styleId="afd">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c"/>
    <w:uiPriority w:val="34"/>
    <w:qFormat/>
    <w:locked/>
    <w:rsid w:val="00875968"/>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80599">
      <w:bodyDiv w:val="1"/>
      <w:marLeft w:val="0"/>
      <w:marRight w:val="0"/>
      <w:marTop w:val="0"/>
      <w:marBottom w:val="0"/>
      <w:divBdr>
        <w:top w:val="none" w:sz="0" w:space="0" w:color="auto"/>
        <w:left w:val="none" w:sz="0" w:space="0" w:color="auto"/>
        <w:bottom w:val="none" w:sz="0" w:space="0" w:color="auto"/>
        <w:right w:val="none" w:sz="0" w:space="0" w:color="auto"/>
      </w:divBdr>
      <w:divsChild>
        <w:div w:id="797604068">
          <w:marLeft w:val="1080"/>
          <w:marRight w:val="0"/>
          <w:marTop w:val="100"/>
          <w:marBottom w:val="0"/>
          <w:divBdr>
            <w:top w:val="none" w:sz="0" w:space="0" w:color="auto"/>
            <w:left w:val="none" w:sz="0" w:space="0" w:color="auto"/>
            <w:bottom w:val="none" w:sz="0" w:space="0" w:color="auto"/>
            <w:right w:val="none" w:sz="0" w:space="0" w:color="auto"/>
          </w:divBdr>
        </w:div>
      </w:divsChild>
    </w:div>
    <w:div w:id="61562449">
      <w:bodyDiv w:val="1"/>
      <w:marLeft w:val="0"/>
      <w:marRight w:val="0"/>
      <w:marTop w:val="0"/>
      <w:marBottom w:val="0"/>
      <w:divBdr>
        <w:top w:val="none" w:sz="0" w:space="0" w:color="auto"/>
        <w:left w:val="none" w:sz="0" w:space="0" w:color="auto"/>
        <w:bottom w:val="none" w:sz="0" w:space="0" w:color="auto"/>
        <w:right w:val="none" w:sz="0" w:space="0" w:color="auto"/>
      </w:divBdr>
    </w:div>
    <w:div w:id="70320379">
      <w:bodyDiv w:val="1"/>
      <w:marLeft w:val="0"/>
      <w:marRight w:val="0"/>
      <w:marTop w:val="0"/>
      <w:marBottom w:val="0"/>
      <w:divBdr>
        <w:top w:val="none" w:sz="0" w:space="0" w:color="auto"/>
        <w:left w:val="none" w:sz="0" w:space="0" w:color="auto"/>
        <w:bottom w:val="none" w:sz="0" w:space="0" w:color="auto"/>
        <w:right w:val="none" w:sz="0" w:space="0" w:color="auto"/>
      </w:divBdr>
    </w:div>
    <w:div w:id="108474572">
      <w:bodyDiv w:val="1"/>
      <w:marLeft w:val="0"/>
      <w:marRight w:val="0"/>
      <w:marTop w:val="0"/>
      <w:marBottom w:val="0"/>
      <w:divBdr>
        <w:top w:val="none" w:sz="0" w:space="0" w:color="auto"/>
        <w:left w:val="none" w:sz="0" w:space="0" w:color="auto"/>
        <w:bottom w:val="none" w:sz="0" w:space="0" w:color="auto"/>
        <w:right w:val="none" w:sz="0" w:space="0" w:color="auto"/>
      </w:divBdr>
    </w:div>
    <w:div w:id="124859519">
      <w:bodyDiv w:val="1"/>
      <w:marLeft w:val="0"/>
      <w:marRight w:val="0"/>
      <w:marTop w:val="0"/>
      <w:marBottom w:val="0"/>
      <w:divBdr>
        <w:top w:val="none" w:sz="0" w:space="0" w:color="auto"/>
        <w:left w:val="none" w:sz="0" w:space="0" w:color="auto"/>
        <w:bottom w:val="none" w:sz="0" w:space="0" w:color="auto"/>
        <w:right w:val="none" w:sz="0" w:space="0" w:color="auto"/>
      </w:divBdr>
      <w:divsChild>
        <w:div w:id="323438589">
          <w:marLeft w:val="1080"/>
          <w:marRight w:val="0"/>
          <w:marTop w:val="100"/>
          <w:marBottom w:val="0"/>
          <w:divBdr>
            <w:top w:val="none" w:sz="0" w:space="0" w:color="auto"/>
            <w:left w:val="none" w:sz="0" w:space="0" w:color="auto"/>
            <w:bottom w:val="none" w:sz="0" w:space="0" w:color="auto"/>
            <w:right w:val="none" w:sz="0" w:space="0" w:color="auto"/>
          </w:divBdr>
        </w:div>
        <w:div w:id="340863375">
          <w:marLeft w:val="1080"/>
          <w:marRight w:val="0"/>
          <w:marTop w:val="100"/>
          <w:marBottom w:val="0"/>
          <w:divBdr>
            <w:top w:val="none" w:sz="0" w:space="0" w:color="auto"/>
            <w:left w:val="none" w:sz="0" w:space="0" w:color="auto"/>
            <w:bottom w:val="none" w:sz="0" w:space="0" w:color="auto"/>
            <w:right w:val="none" w:sz="0" w:space="0" w:color="auto"/>
          </w:divBdr>
        </w:div>
        <w:div w:id="1584754239">
          <w:marLeft w:val="1080"/>
          <w:marRight w:val="0"/>
          <w:marTop w:val="100"/>
          <w:marBottom w:val="0"/>
          <w:divBdr>
            <w:top w:val="none" w:sz="0" w:space="0" w:color="auto"/>
            <w:left w:val="none" w:sz="0" w:space="0" w:color="auto"/>
            <w:bottom w:val="none" w:sz="0" w:space="0" w:color="auto"/>
            <w:right w:val="none" w:sz="0" w:space="0" w:color="auto"/>
          </w:divBdr>
        </w:div>
        <w:div w:id="1601110740">
          <w:marLeft w:val="1080"/>
          <w:marRight w:val="0"/>
          <w:marTop w:val="100"/>
          <w:marBottom w:val="0"/>
          <w:divBdr>
            <w:top w:val="none" w:sz="0" w:space="0" w:color="auto"/>
            <w:left w:val="none" w:sz="0" w:space="0" w:color="auto"/>
            <w:bottom w:val="none" w:sz="0" w:space="0" w:color="auto"/>
            <w:right w:val="none" w:sz="0" w:space="0" w:color="auto"/>
          </w:divBdr>
        </w:div>
      </w:divsChild>
    </w:div>
    <w:div w:id="166293873">
      <w:bodyDiv w:val="1"/>
      <w:marLeft w:val="0"/>
      <w:marRight w:val="0"/>
      <w:marTop w:val="0"/>
      <w:marBottom w:val="0"/>
      <w:divBdr>
        <w:top w:val="none" w:sz="0" w:space="0" w:color="auto"/>
        <w:left w:val="none" w:sz="0" w:space="0" w:color="auto"/>
        <w:bottom w:val="none" w:sz="0" w:space="0" w:color="auto"/>
        <w:right w:val="none" w:sz="0" w:space="0" w:color="auto"/>
      </w:divBdr>
    </w:div>
    <w:div w:id="167595803">
      <w:bodyDiv w:val="1"/>
      <w:marLeft w:val="0"/>
      <w:marRight w:val="0"/>
      <w:marTop w:val="0"/>
      <w:marBottom w:val="0"/>
      <w:divBdr>
        <w:top w:val="none" w:sz="0" w:space="0" w:color="auto"/>
        <w:left w:val="none" w:sz="0" w:space="0" w:color="auto"/>
        <w:bottom w:val="none" w:sz="0" w:space="0" w:color="auto"/>
        <w:right w:val="none" w:sz="0" w:space="0" w:color="auto"/>
      </w:divBdr>
    </w:div>
    <w:div w:id="169950569">
      <w:bodyDiv w:val="1"/>
      <w:marLeft w:val="0"/>
      <w:marRight w:val="0"/>
      <w:marTop w:val="0"/>
      <w:marBottom w:val="0"/>
      <w:divBdr>
        <w:top w:val="none" w:sz="0" w:space="0" w:color="auto"/>
        <w:left w:val="none" w:sz="0" w:space="0" w:color="auto"/>
        <w:bottom w:val="none" w:sz="0" w:space="0" w:color="auto"/>
        <w:right w:val="none" w:sz="0" w:space="0" w:color="auto"/>
      </w:divBdr>
    </w:div>
    <w:div w:id="201793941">
      <w:bodyDiv w:val="1"/>
      <w:marLeft w:val="0"/>
      <w:marRight w:val="0"/>
      <w:marTop w:val="0"/>
      <w:marBottom w:val="0"/>
      <w:divBdr>
        <w:top w:val="none" w:sz="0" w:space="0" w:color="auto"/>
        <w:left w:val="none" w:sz="0" w:space="0" w:color="auto"/>
        <w:bottom w:val="none" w:sz="0" w:space="0" w:color="auto"/>
        <w:right w:val="none" w:sz="0" w:space="0" w:color="auto"/>
      </w:divBdr>
      <w:divsChild>
        <w:div w:id="888608074">
          <w:marLeft w:val="1080"/>
          <w:marRight w:val="0"/>
          <w:marTop w:val="100"/>
          <w:marBottom w:val="0"/>
          <w:divBdr>
            <w:top w:val="none" w:sz="0" w:space="0" w:color="auto"/>
            <w:left w:val="none" w:sz="0" w:space="0" w:color="auto"/>
            <w:bottom w:val="none" w:sz="0" w:space="0" w:color="auto"/>
            <w:right w:val="none" w:sz="0" w:space="0" w:color="auto"/>
          </w:divBdr>
        </w:div>
        <w:div w:id="1133517756">
          <w:marLeft w:val="1080"/>
          <w:marRight w:val="0"/>
          <w:marTop w:val="100"/>
          <w:marBottom w:val="0"/>
          <w:divBdr>
            <w:top w:val="none" w:sz="0" w:space="0" w:color="auto"/>
            <w:left w:val="none" w:sz="0" w:space="0" w:color="auto"/>
            <w:bottom w:val="none" w:sz="0" w:space="0" w:color="auto"/>
            <w:right w:val="none" w:sz="0" w:space="0" w:color="auto"/>
          </w:divBdr>
        </w:div>
        <w:div w:id="1373265842">
          <w:marLeft w:val="1080"/>
          <w:marRight w:val="0"/>
          <w:marTop w:val="100"/>
          <w:marBottom w:val="0"/>
          <w:divBdr>
            <w:top w:val="none" w:sz="0" w:space="0" w:color="auto"/>
            <w:left w:val="none" w:sz="0" w:space="0" w:color="auto"/>
            <w:bottom w:val="none" w:sz="0" w:space="0" w:color="auto"/>
            <w:right w:val="none" w:sz="0" w:space="0" w:color="auto"/>
          </w:divBdr>
        </w:div>
        <w:div w:id="1480727275">
          <w:marLeft w:val="1800"/>
          <w:marRight w:val="0"/>
          <w:marTop w:val="100"/>
          <w:marBottom w:val="0"/>
          <w:divBdr>
            <w:top w:val="none" w:sz="0" w:space="0" w:color="auto"/>
            <w:left w:val="none" w:sz="0" w:space="0" w:color="auto"/>
            <w:bottom w:val="none" w:sz="0" w:space="0" w:color="auto"/>
            <w:right w:val="none" w:sz="0" w:space="0" w:color="auto"/>
          </w:divBdr>
        </w:div>
        <w:div w:id="2062820330">
          <w:marLeft w:val="1800"/>
          <w:marRight w:val="0"/>
          <w:marTop w:val="100"/>
          <w:marBottom w:val="0"/>
          <w:divBdr>
            <w:top w:val="none" w:sz="0" w:space="0" w:color="auto"/>
            <w:left w:val="none" w:sz="0" w:space="0" w:color="auto"/>
            <w:bottom w:val="none" w:sz="0" w:space="0" w:color="auto"/>
            <w:right w:val="none" w:sz="0" w:space="0" w:color="auto"/>
          </w:divBdr>
        </w:div>
      </w:divsChild>
    </w:div>
    <w:div w:id="207381078">
      <w:bodyDiv w:val="1"/>
      <w:marLeft w:val="0"/>
      <w:marRight w:val="0"/>
      <w:marTop w:val="0"/>
      <w:marBottom w:val="0"/>
      <w:divBdr>
        <w:top w:val="none" w:sz="0" w:space="0" w:color="auto"/>
        <w:left w:val="none" w:sz="0" w:space="0" w:color="auto"/>
        <w:bottom w:val="none" w:sz="0" w:space="0" w:color="auto"/>
        <w:right w:val="none" w:sz="0" w:space="0" w:color="auto"/>
      </w:divBdr>
      <w:divsChild>
        <w:div w:id="327951168">
          <w:marLeft w:val="1080"/>
          <w:marRight w:val="0"/>
          <w:marTop w:val="100"/>
          <w:marBottom w:val="0"/>
          <w:divBdr>
            <w:top w:val="none" w:sz="0" w:space="0" w:color="auto"/>
            <w:left w:val="none" w:sz="0" w:space="0" w:color="auto"/>
            <w:bottom w:val="none" w:sz="0" w:space="0" w:color="auto"/>
            <w:right w:val="none" w:sz="0" w:space="0" w:color="auto"/>
          </w:divBdr>
        </w:div>
        <w:div w:id="577398324">
          <w:marLeft w:val="1080"/>
          <w:marRight w:val="0"/>
          <w:marTop w:val="100"/>
          <w:marBottom w:val="0"/>
          <w:divBdr>
            <w:top w:val="none" w:sz="0" w:space="0" w:color="auto"/>
            <w:left w:val="none" w:sz="0" w:space="0" w:color="auto"/>
            <w:bottom w:val="none" w:sz="0" w:space="0" w:color="auto"/>
            <w:right w:val="none" w:sz="0" w:space="0" w:color="auto"/>
          </w:divBdr>
        </w:div>
        <w:div w:id="2025327618">
          <w:marLeft w:val="1080"/>
          <w:marRight w:val="0"/>
          <w:marTop w:val="100"/>
          <w:marBottom w:val="0"/>
          <w:divBdr>
            <w:top w:val="none" w:sz="0" w:space="0" w:color="auto"/>
            <w:left w:val="none" w:sz="0" w:space="0" w:color="auto"/>
            <w:bottom w:val="none" w:sz="0" w:space="0" w:color="auto"/>
            <w:right w:val="none" w:sz="0" w:space="0" w:color="auto"/>
          </w:divBdr>
        </w:div>
      </w:divsChild>
    </w:div>
    <w:div w:id="240800635">
      <w:bodyDiv w:val="1"/>
      <w:marLeft w:val="0"/>
      <w:marRight w:val="0"/>
      <w:marTop w:val="0"/>
      <w:marBottom w:val="0"/>
      <w:divBdr>
        <w:top w:val="none" w:sz="0" w:space="0" w:color="auto"/>
        <w:left w:val="none" w:sz="0" w:space="0" w:color="auto"/>
        <w:bottom w:val="none" w:sz="0" w:space="0" w:color="auto"/>
        <w:right w:val="none" w:sz="0" w:space="0" w:color="auto"/>
      </w:divBdr>
    </w:div>
    <w:div w:id="265190810">
      <w:bodyDiv w:val="1"/>
      <w:marLeft w:val="0"/>
      <w:marRight w:val="0"/>
      <w:marTop w:val="0"/>
      <w:marBottom w:val="0"/>
      <w:divBdr>
        <w:top w:val="none" w:sz="0" w:space="0" w:color="auto"/>
        <w:left w:val="none" w:sz="0" w:space="0" w:color="auto"/>
        <w:bottom w:val="none" w:sz="0" w:space="0" w:color="auto"/>
        <w:right w:val="none" w:sz="0" w:space="0" w:color="auto"/>
      </w:divBdr>
      <w:divsChild>
        <w:div w:id="1537548132">
          <w:marLeft w:val="1080"/>
          <w:marRight w:val="0"/>
          <w:marTop w:val="100"/>
          <w:marBottom w:val="0"/>
          <w:divBdr>
            <w:top w:val="none" w:sz="0" w:space="0" w:color="auto"/>
            <w:left w:val="none" w:sz="0" w:space="0" w:color="auto"/>
            <w:bottom w:val="none" w:sz="0" w:space="0" w:color="auto"/>
            <w:right w:val="none" w:sz="0" w:space="0" w:color="auto"/>
          </w:divBdr>
        </w:div>
        <w:div w:id="1644580176">
          <w:marLeft w:val="1080"/>
          <w:marRight w:val="0"/>
          <w:marTop w:val="100"/>
          <w:marBottom w:val="0"/>
          <w:divBdr>
            <w:top w:val="none" w:sz="0" w:space="0" w:color="auto"/>
            <w:left w:val="none" w:sz="0" w:space="0" w:color="auto"/>
            <w:bottom w:val="none" w:sz="0" w:space="0" w:color="auto"/>
            <w:right w:val="none" w:sz="0" w:space="0" w:color="auto"/>
          </w:divBdr>
        </w:div>
        <w:div w:id="1662544808">
          <w:marLeft w:val="1080"/>
          <w:marRight w:val="0"/>
          <w:marTop w:val="100"/>
          <w:marBottom w:val="0"/>
          <w:divBdr>
            <w:top w:val="none" w:sz="0" w:space="0" w:color="auto"/>
            <w:left w:val="none" w:sz="0" w:space="0" w:color="auto"/>
            <w:bottom w:val="none" w:sz="0" w:space="0" w:color="auto"/>
            <w:right w:val="none" w:sz="0" w:space="0" w:color="auto"/>
          </w:divBdr>
        </w:div>
        <w:div w:id="1829780393">
          <w:marLeft w:val="1080"/>
          <w:marRight w:val="0"/>
          <w:marTop w:val="100"/>
          <w:marBottom w:val="0"/>
          <w:divBdr>
            <w:top w:val="none" w:sz="0" w:space="0" w:color="auto"/>
            <w:left w:val="none" w:sz="0" w:space="0" w:color="auto"/>
            <w:bottom w:val="none" w:sz="0" w:space="0" w:color="auto"/>
            <w:right w:val="none" w:sz="0" w:space="0" w:color="auto"/>
          </w:divBdr>
        </w:div>
      </w:divsChild>
    </w:div>
    <w:div w:id="273246341">
      <w:bodyDiv w:val="1"/>
      <w:marLeft w:val="0"/>
      <w:marRight w:val="0"/>
      <w:marTop w:val="0"/>
      <w:marBottom w:val="0"/>
      <w:divBdr>
        <w:top w:val="none" w:sz="0" w:space="0" w:color="auto"/>
        <w:left w:val="none" w:sz="0" w:space="0" w:color="auto"/>
        <w:bottom w:val="none" w:sz="0" w:space="0" w:color="auto"/>
        <w:right w:val="none" w:sz="0" w:space="0" w:color="auto"/>
      </w:divBdr>
    </w:div>
    <w:div w:id="296834906">
      <w:bodyDiv w:val="1"/>
      <w:marLeft w:val="0"/>
      <w:marRight w:val="0"/>
      <w:marTop w:val="0"/>
      <w:marBottom w:val="0"/>
      <w:divBdr>
        <w:top w:val="none" w:sz="0" w:space="0" w:color="auto"/>
        <w:left w:val="none" w:sz="0" w:space="0" w:color="auto"/>
        <w:bottom w:val="none" w:sz="0" w:space="0" w:color="auto"/>
        <w:right w:val="none" w:sz="0" w:space="0" w:color="auto"/>
      </w:divBdr>
    </w:div>
    <w:div w:id="316611949">
      <w:bodyDiv w:val="1"/>
      <w:marLeft w:val="0"/>
      <w:marRight w:val="0"/>
      <w:marTop w:val="0"/>
      <w:marBottom w:val="0"/>
      <w:divBdr>
        <w:top w:val="none" w:sz="0" w:space="0" w:color="auto"/>
        <w:left w:val="none" w:sz="0" w:space="0" w:color="auto"/>
        <w:bottom w:val="none" w:sz="0" w:space="0" w:color="auto"/>
        <w:right w:val="none" w:sz="0" w:space="0" w:color="auto"/>
      </w:divBdr>
      <w:divsChild>
        <w:div w:id="123735525">
          <w:marLeft w:val="1800"/>
          <w:marRight w:val="0"/>
          <w:marTop w:val="100"/>
          <w:marBottom w:val="0"/>
          <w:divBdr>
            <w:top w:val="none" w:sz="0" w:space="0" w:color="auto"/>
            <w:left w:val="none" w:sz="0" w:space="0" w:color="auto"/>
            <w:bottom w:val="none" w:sz="0" w:space="0" w:color="auto"/>
            <w:right w:val="none" w:sz="0" w:space="0" w:color="auto"/>
          </w:divBdr>
        </w:div>
        <w:div w:id="1084455183">
          <w:marLeft w:val="1800"/>
          <w:marRight w:val="0"/>
          <w:marTop w:val="100"/>
          <w:marBottom w:val="0"/>
          <w:divBdr>
            <w:top w:val="none" w:sz="0" w:space="0" w:color="auto"/>
            <w:left w:val="none" w:sz="0" w:space="0" w:color="auto"/>
            <w:bottom w:val="none" w:sz="0" w:space="0" w:color="auto"/>
            <w:right w:val="none" w:sz="0" w:space="0" w:color="auto"/>
          </w:divBdr>
        </w:div>
        <w:div w:id="1739550032">
          <w:marLeft w:val="1800"/>
          <w:marRight w:val="0"/>
          <w:marTop w:val="100"/>
          <w:marBottom w:val="0"/>
          <w:divBdr>
            <w:top w:val="none" w:sz="0" w:space="0" w:color="auto"/>
            <w:left w:val="none" w:sz="0" w:space="0" w:color="auto"/>
            <w:bottom w:val="none" w:sz="0" w:space="0" w:color="auto"/>
            <w:right w:val="none" w:sz="0" w:space="0" w:color="auto"/>
          </w:divBdr>
        </w:div>
      </w:divsChild>
    </w:div>
    <w:div w:id="360742828">
      <w:bodyDiv w:val="1"/>
      <w:marLeft w:val="0"/>
      <w:marRight w:val="0"/>
      <w:marTop w:val="0"/>
      <w:marBottom w:val="0"/>
      <w:divBdr>
        <w:top w:val="none" w:sz="0" w:space="0" w:color="auto"/>
        <w:left w:val="none" w:sz="0" w:space="0" w:color="auto"/>
        <w:bottom w:val="none" w:sz="0" w:space="0" w:color="auto"/>
        <w:right w:val="none" w:sz="0" w:space="0" w:color="auto"/>
      </w:divBdr>
    </w:div>
    <w:div w:id="423768174">
      <w:bodyDiv w:val="1"/>
      <w:marLeft w:val="0"/>
      <w:marRight w:val="0"/>
      <w:marTop w:val="0"/>
      <w:marBottom w:val="0"/>
      <w:divBdr>
        <w:top w:val="none" w:sz="0" w:space="0" w:color="auto"/>
        <w:left w:val="none" w:sz="0" w:space="0" w:color="auto"/>
        <w:bottom w:val="none" w:sz="0" w:space="0" w:color="auto"/>
        <w:right w:val="none" w:sz="0" w:space="0" w:color="auto"/>
      </w:divBdr>
    </w:div>
    <w:div w:id="424496137">
      <w:bodyDiv w:val="1"/>
      <w:marLeft w:val="0"/>
      <w:marRight w:val="0"/>
      <w:marTop w:val="0"/>
      <w:marBottom w:val="0"/>
      <w:divBdr>
        <w:top w:val="none" w:sz="0" w:space="0" w:color="auto"/>
        <w:left w:val="none" w:sz="0" w:space="0" w:color="auto"/>
        <w:bottom w:val="none" w:sz="0" w:space="0" w:color="auto"/>
        <w:right w:val="none" w:sz="0" w:space="0" w:color="auto"/>
      </w:divBdr>
    </w:div>
    <w:div w:id="435445949">
      <w:bodyDiv w:val="1"/>
      <w:marLeft w:val="0"/>
      <w:marRight w:val="0"/>
      <w:marTop w:val="0"/>
      <w:marBottom w:val="0"/>
      <w:divBdr>
        <w:top w:val="none" w:sz="0" w:space="0" w:color="auto"/>
        <w:left w:val="none" w:sz="0" w:space="0" w:color="auto"/>
        <w:bottom w:val="none" w:sz="0" w:space="0" w:color="auto"/>
        <w:right w:val="none" w:sz="0" w:space="0" w:color="auto"/>
      </w:divBdr>
      <w:divsChild>
        <w:div w:id="1433864904">
          <w:marLeft w:val="1080"/>
          <w:marRight w:val="0"/>
          <w:marTop w:val="100"/>
          <w:marBottom w:val="0"/>
          <w:divBdr>
            <w:top w:val="none" w:sz="0" w:space="0" w:color="auto"/>
            <w:left w:val="none" w:sz="0" w:space="0" w:color="auto"/>
            <w:bottom w:val="none" w:sz="0" w:space="0" w:color="auto"/>
            <w:right w:val="none" w:sz="0" w:space="0" w:color="auto"/>
          </w:divBdr>
        </w:div>
      </w:divsChild>
    </w:div>
    <w:div w:id="471406248">
      <w:bodyDiv w:val="1"/>
      <w:marLeft w:val="0"/>
      <w:marRight w:val="0"/>
      <w:marTop w:val="0"/>
      <w:marBottom w:val="0"/>
      <w:divBdr>
        <w:top w:val="none" w:sz="0" w:space="0" w:color="auto"/>
        <w:left w:val="none" w:sz="0" w:space="0" w:color="auto"/>
        <w:bottom w:val="none" w:sz="0" w:space="0" w:color="auto"/>
        <w:right w:val="none" w:sz="0" w:space="0" w:color="auto"/>
      </w:divBdr>
      <w:divsChild>
        <w:div w:id="114064377">
          <w:marLeft w:val="893"/>
          <w:marRight w:val="0"/>
          <w:marTop w:val="40"/>
          <w:marBottom w:val="80"/>
          <w:divBdr>
            <w:top w:val="none" w:sz="0" w:space="0" w:color="auto"/>
            <w:left w:val="none" w:sz="0" w:space="0" w:color="auto"/>
            <w:bottom w:val="none" w:sz="0" w:space="0" w:color="auto"/>
            <w:right w:val="none" w:sz="0" w:space="0" w:color="auto"/>
          </w:divBdr>
        </w:div>
        <w:div w:id="316764208">
          <w:marLeft w:val="1454"/>
          <w:marRight w:val="0"/>
          <w:marTop w:val="40"/>
          <w:marBottom w:val="120"/>
          <w:divBdr>
            <w:top w:val="none" w:sz="0" w:space="0" w:color="auto"/>
            <w:left w:val="none" w:sz="0" w:space="0" w:color="auto"/>
            <w:bottom w:val="none" w:sz="0" w:space="0" w:color="auto"/>
            <w:right w:val="none" w:sz="0" w:space="0" w:color="auto"/>
          </w:divBdr>
        </w:div>
        <w:div w:id="351418749">
          <w:marLeft w:val="605"/>
          <w:marRight w:val="0"/>
          <w:marTop w:val="40"/>
          <w:marBottom w:val="80"/>
          <w:divBdr>
            <w:top w:val="none" w:sz="0" w:space="0" w:color="auto"/>
            <w:left w:val="none" w:sz="0" w:space="0" w:color="auto"/>
            <w:bottom w:val="none" w:sz="0" w:space="0" w:color="auto"/>
            <w:right w:val="none" w:sz="0" w:space="0" w:color="auto"/>
          </w:divBdr>
        </w:div>
        <w:div w:id="513617324">
          <w:marLeft w:val="1008"/>
          <w:marRight w:val="0"/>
          <w:marTop w:val="40"/>
          <w:marBottom w:val="120"/>
          <w:divBdr>
            <w:top w:val="none" w:sz="0" w:space="0" w:color="auto"/>
            <w:left w:val="none" w:sz="0" w:space="0" w:color="auto"/>
            <w:bottom w:val="none" w:sz="0" w:space="0" w:color="auto"/>
            <w:right w:val="none" w:sz="0" w:space="0" w:color="auto"/>
          </w:divBdr>
        </w:div>
        <w:div w:id="608701450">
          <w:marLeft w:val="605"/>
          <w:marRight w:val="0"/>
          <w:marTop w:val="40"/>
          <w:marBottom w:val="120"/>
          <w:divBdr>
            <w:top w:val="none" w:sz="0" w:space="0" w:color="auto"/>
            <w:left w:val="none" w:sz="0" w:space="0" w:color="auto"/>
            <w:bottom w:val="none" w:sz="0" w:space="0" w:color="auto"/>
            <w:right w:val="none" w:sz="0" w:space="0" w:color="auto"/>
          </w:divBdr>
        </w:div>
        <w:div w:id="685255512">
          <w:marLeft w:val="1454"/>
          <w:marRight w:val="0"/>
          <w:marTop w:val="40"/>
          <w:marBottom w:val="120"/>
          <w:divBdr>
            <w:top w:val="none" w:sz="0" w:space="0" w:color="auto"/>
            <w:left w:val="none" w:sz="0" w:space="0" w:color="auto"/>
            <w:bottom w:val="none" w:sz="0" w:space="0" w:color="auto"/>
            <w:right w:val="none" w:sz="0" w:space="0" w:color="auto"/>
          </w:divBdr>
        </w:div>
        <w:div w:id="1313872381">
          <w:marLeft w:val="893"/>
          <w:marRight w:val="0"/>
          <w:marTop w:val="40"/>
          <w:marBottom w:val="80"/>
          <w:divBdr>
            <w:top w:val="none" w:sz="0" w:space="0" w:color="auto"/>
            <w:left w:val="none" w:sz="0" w:space="0" w:color="auto"/>
            <w:bottom w:val="none" w:sz="0" w:space="0" w:color="auto"/>
            <w:right w:val="none" w:sz="0" w:space="0" w:color="auto"/>
          </w:divBdr>
        </w:div>
        <w:div w:id="1326516466">
          <w:marLeft w:val="605"/>
          <w:marRight w:val="0"/>
          <w:marTop w:val="40"/>
          <w:marBottom w:val="80"/>
          <w:divBdr>
            <w:top w:val="none" w:sz="0" w:space="0" w:color="auto"/>
            <w:left w:val="none" w:sz="0" w:space="0" w:color="auto"/>
            <w:bottom w:val="none" w:sz="0" w:space="0" w:color="auto"/>
            <w:right w:val="none" w:sz="0" w:space="0" w:color="auto"/>
          </w:divBdr>
        </w:div>
        <w:div w:id="1560633861">
          <w:marLeft w:val="144"/>
          <w:marRight w:val="0"/>
          <w:marTop w:val="240"/>
          <w:marBottom w:val="40"/>
          <w:divBdr>
            <w:top w:val="none" w:sz="0" w:space="0" w:color="auto"/>
            <w:left w:val="none" w:sz="0" w:space="0" w:color="auto"/>
            <w:bottom w:val="none" w:sz="0" w:space="0" w:color="auto"/>
            <w:right w:val="none" w:sz="0" w:space="0" w:color="auto"/>
          </w:divBdr>
        </w:div>
        <w:div w:id="1857576459">
          <w:marLeft w:val="1454"/>
          <w:marRight w:val="0"/>
          <w:marTop w:val="40"/>
          <w:marBottom w:val="120"/>
          <w:divBdr>
            <w:top w:val="none" w:sz="0" w:space="0" w:color="auto"/>
            <w:left w:val="none" w:sz="0" w:space="0" w:color="auto"/>
            <w:bottom w:val="none" w:sz="0" w:space="0" w:color="auto"/>
            <w:right w:val="none" w:sz="0" w:space="0" w:color="auto"/>
          </w:divBdr>
        </w:div>
        <w:div w:id="1892376911">
          <w:marLeft w:val="1454"/>
          <w:marRight w:val="0"/>
          <w:marTop w:val="40"/>
          <w:marBottom w:val="120"/>
          <w:divBdr>
            <w:top w:val="none" w:sz="0" w:space="0" w:color="auto"/>
            <w:left w:val="none" w:sz="0" w:space="0" w:color="auto"/>
            <w:bottom w:val="none" w:sz="0" w:space="0" w:color="auto"/>
            <w:right w:val="none" w:sz="0" w:space="0" w:color="auto"/>
          </w:divBdr>
        </w:div>
      </w:divsChild>
    </w:div>
    <w:div w:id="495389585">
      <w:bodyDiv w:val="1"/>
      <w:marLeft w:val="0"/>
      <w:marRight w:val="0"/>
      <w:marTop w:val="0"/>
      <w:marBottom w:val="0"/>
      <w:divBdr>
        <w:top w:val="none" w:sz="0" w:space="0" w:color="auto"/>
        <w:left w:val="none" w:sz="0" w:space="0" w:color="auto"/>
        <w:bottom w:val="none" w:sz="0" w:space="0" w:color="auto"/>
        <w:right w:val="none" w:sz="0" w:space="0" w:color="auto"/>
      </w:divBdr>
    </w:div>
    <w:div w:id="514418151">
      <w:bodyDiv w:val="1"/>
      <w:marLeft w:val="0"/>
      <w:marRight w:val="0"/>
      <w:marTop w:val="0"/>
      <w:marBottom w:val="0"/>
      <w:divBdr>
        <w:top w:val="none" w:sz="0" w:space="0" w:color="auto"/>
        <w:left w:val="none" w:sz="0" w:space="0" w:color="auto"/>
        <w:bottom w:val="none" w:sz="0" w:space="0" w:color="auto"/>
        <w:right w:val="none" w:sz="0" w:space="0" w:color="auto"/>
      </w:divBdr>
    </w:div>
    <w:div w:id="515123325">
      <w:bodyDiv w:val="1"/>
      <w:marLeft w:val="0"/>
      <w:marRight w:val="0"/>
      <w:marTop w:val="0"/>
      <w:marBottom w:val="0"/>
      <w:divBdr>
        <w:top w:val="none" w:sz="0" w:space="0" w:color="auto"/>
        <w:left w:val="none" w:sz="0" w:space="0" w:color="auto"/>
        <w:bottom w:val="none" w:sz="0" w:space="0" w:color="auto"/>
        <w:right w:val="none" w:sz="0" w:space="0" w:color="auto"/>
      </w:divBdr>
    </w:div>
    <w:div w:id="524368076">
      <w:bodyDiv w:val="1"/>
      <w:marLeft w:val="0"/>
      <w:marRight w:val="0"/>
      <w:marTop w:val="0"/>
      <w:marBottom w:val="0"/>
      <w:divBdr>
        <w:top w:val="none" w:sz="0" w:space="0" w:color="auto"/>
        <w:left w:val="none" w:sz="0" w:space="0" w:color="auto"/>
        <w:bottom w:val="none" w:sz="0" w:space="0" w:color="auto"/>
        <w:right w:val="none" w:sz="0" w:space="0" w:color="auto"/>
      </w:divBdr>
      <w:divsChild>
        <w:div w:id="1150364569">
          <w:marLeft w:val="1800"/>
          <w:marRight w:val="0"/>
          <w:marTop w:val="240"/>
          <w:marBottom w:val="0"/>
          <w:divBdr>
            <w:top w:val="none" w:sz="0" w:space="0" w:color="auto"/>
            <w:left w:val="none" w:sz="0" w:space="0" w:color="auto"/>
            <w:bottom w:val="none" w:sz="0" w:space="0" w:color="auto"/>
            <w:right w:val="none" w:sz="0" w:space="0" w:color="auto"/>
          </w:divBdr>
        </w:div>
        <w:div w:id="1853953878">
          <w:marLeft w:val="1080"/>
          <w:marRight w:val="0"/>
          <w:marTop w:val="240"/>
          <w:marBottom w:val="0"/>
          <w:divBdr>
            <w:top w:val="none" w:sz="0" w:space="0" w:color="auto"/>
            <w:left w:val="none" w:sz="0" w:space="0" w:color="auto"/>
            <w:bottom w:val="none" w:sz="0" w:space="0" w:color="auto"/>
            <w:right w:val="none" w:sz="0" w:space="0" w:color="auto"/>
          </w:divBdr>
        </w:div>
        <w:div w:id="2100251823">
          <w:marLeft w:val="576"/>
          <w:marRight w:val="0"/>
          <w:marTop w:val="240"/>
          <w:marBottom w:val="0"/>
          <w:divBdr>
            <w:top w:val="none" w:sz="0" w:space="0" w:color="auto"/>
            <w:left w:val="none" w:sz="0" w:space="0" w:color="auto"/>
            <w:bottom w:val="none" w:sz="0" w:space="0" w:color="auto"/>
            <w:right w:val="none" w:sz="0" w:space="0" w:color="auto"/>
          </w:divBdr>
        </w:div>
      </w:divsChild>
    </w:div>
    <w:div w:id="525027530">
      <w:bodyDiv w:val="1"/>
      <w:marLeft w:val="0"/>
      <w:marRight w:val="0"/>
      <w:marTop w:val="0"/>
      <w:marBottom w:val="0"/>
      <w:divBdr>
        <w:top w:val="none" w:sz="0" w:space="0" w:color="auto"/>
        <w:left w:val="none" w:sz="0" w:space="0" w:color="auto"/>
        <w:bottom w:val="none" w:sz="0" w:space="0" w:color="auto"/>
        <w:right w:val="none" w:sz="0" w:space="0" w:color="auto"/>
      </w:divBdr>
    </w:div>
    <w:div w:id="531384875">
      <w:bodyDiv w:val="1"/>
      <w:marLeft w:val="0"/>
      <w:marRight w:val="0"/>
      <w:marTop w:val="0"/>
      <w:marBottom w:val="0"/>
      <w:divBdr>
        <w:top w:val="none" w:sz="0" w:space="0" w:color="auto"/>
        <w:left w:val="none" w:sz="0" w:space="0" w:color="auto"/>
        <w:bottom w:val="none" w:sz="0" w:space="0" w:color="auto"/>
        <w:right w:val="none" w:sz="0" w:space="0" w:color="auto"/>
      </w:divBdr>
    </w:div>
    <w:div w:id="537475345">
      <w:bodyDiv w:val="1"/>
      <w:marLeft w:val="0"/>
      <w:marRight w:val="0"/>
      <w:marTop w:val="0"/>
      <w:marBottom w:val="0"/>
      <w:divBdr>
        <w:top w:val="none" w:sz="0" w:space="0" w:color="auto"/>
        <w:left w:val="none" w:sz="0" w:space="0" w:color="auto"/>
        <w:bottom w:val="none" w:sz="0" w:space="0" w:color="auto"/>
        <w:right w:val="none" w:sz="0" w:space="0" w:color="auto"/>
      </w:divBdr>
    </w:div>
    <w:div w:id="542787007">
      <w:bodyDiv w:val="1"/>
      <w:marLeft w:val="0"/>
      <w:marRight w:val="0"/>
      <w:marTop w:val="0"/>
      <w:marBottom w:val="0"/>
      <w:divBdr>
        <w:top w:val="none" w:sz="0" w:space="0" w:color="auto"/>
        <w:left w:val="none" w:sz="0" w:space="0" w:color="auto"/>
        <w:bottom w:val="none" w:sz="0" w:space="0" w:color="auto"/>
        <w:right w:val="none" w:sz="0" w:space="0" w:color="auto"/>
      </w:divBdr>
    </w:div>
    <w:div w:id="574323561">
      <w:bodyDiv w:val="1"/>
      <w:marLeft w:val="0"/>
      <w:marRight w:val="0"/>
      <w:marTop w:val="0"/>
      <w:marBottom w:val="0"/>
      <w:divBdr>
        <w:top w:val="none" w:sz="0" w:space="0" w:color="auto"/>
        <w:left w:val="none" w:sz="0" w:space="0" w:color="auto"/>
        <w:bottom w:val="none" w:sz="0" w:space="0" w:color="auto"/>
        <w:right w:val="none" w:sz="0" w:space="0" w:color="auto"/>
      </w:divBdr>
    </w:div>
    <w:div w:id="614672804">
      <w:bodyDiv w:val="1"/>
      <w:marLeft w:val="0"/>
      <w:marRight w:val="0"/>
      <w:marTop w:val="0"/>
      <w:marBottom w:val="0"/>
      <w:divBdr>
        <w:top w:val="none" w:sz="0" w:space="0" w:color="auto"/>
        <w:left w:val="none" w:sz="0" w:space="0" w:color="auto"/>
        <w:bottom w:val="none" w:sz="0" w:space="0" w:color="auto"/>
        <w:right w:val="none" w:sz="0" w:space="0" w:color="auto"/>
      </w:divBdr>
      <w:divsChild>
        <w:div w:id="24912761">
          <w:marLeft w:val="3240"/>
          <w:marRight w:val="0"/>
          <w:marTop w:val="100"/>
          <w:marBottom w:val="0"/>
          <w:divBdr>
            <w:top w:val="none" w:sz="0" w:space="0" w:color="auto"/>
            <w:left w:val="none" w:sz="0" w:space="0" w:color="auto"/>
            <w:bottom w:val="none" w:sz="0" w:space="0" w:color="auto"/>
            <w:right w:val="none" w:sz="0" w:space="0" w:color="auto"/>
          </w:divBdr>
        </w:div>
        <w:div w:id="231087883">
          <w:marLeft w:val="3240"/>
          <w:marRight w:val="0"/>
          <w:marTop w:val="100"/>
          <w:marBottom w:val="0"/>
          <w:divBdr>
            <w:top w:val="none" w:sz="0" w:space="0" w:color="auto"/>
            <w:left w:val="none" w:sz="0" w:space="0" w:color="auto"/>
            <w:bottom w:val="none" w:sz="0" w:space="0" w:color="auto"/>
            <w:right w:val="none" w:sz="0" w:space="0" w:color="auto"/>
          </w:divBdr>
        </w:div>
        <w:div w:id="642853416">
          <w:marLeft w:val="1800"/>
          <w:marRight w:val="0"/>
          <w:marTop w:val="100"/>
          <w:marBottom w:val="0"/>
          <w:divBdr>
            <w:top w:val="none" w:sz="0" w:space="0" w:color="auto"/>
            <w:left w:val="none" w:sz="0" w:space="0" w:color="auto"/>
            <w:bottom w:val="none" w:sz="0" w:space="0" w:color="auto"/>
            <w:right w:val="none" w:sz="0" w:space="0" w:color="auto"/>
          </w:divBdr>
        </w:div>
        <w:div w:id="675304932">
          <w:marLeft w:val="2520"/>
          <w:marRight w:val="0"/>
          <w:marTop w:val="100"/>
          <w:marBottom w:val="0"/>
          <w:divBdr>
            <w:top w:val="none" w:sz="0" w:space="0" w:color="auto"/>
            <w:left w:val="none" w:sz="0" w:space="0" w:color="auto"/>
            <w:bottom w:val="none" w:sz="0" w:space="0" w:color="auto"/>
            <w:right w:val="none" w:sz="0" w:space="0" w:color="auto"/>
          </w:divBdr>
        </w:div>
        <w:div w:id="709263259">
          <w:marLeft w:val="2520"/>
          <w:marRight w:val="0"/>
          <w:marTop w:val="100"/>
          <w:marBottom w:val="0"/>
          <w:divBdr>
            <w:top w:val="none" w:sz="0" w:space="0" w:color="auto"/>
            <w:left w:val="none" w:sz="0" w:space="0" w:color="auto"/>
            <w:bottom w:val="none" w:sz="0" w:space="0" w:color="auto"/>
            <w:right w:val="none" w:sz="0" w:space="0" w:color="auto"/>
          </w:divBdr>
        </w:div>
        <w:div w:id="1880507152">
          <w:marLeft w:val="1080"/>
          <w:marRight w:val="0"/>
          <w:marTop w:val="100"/>
          <w:marBottom w:val="0"/>
          <w:divBdr>
            <w:top w:val="none" w:sz="0" w:space="0" w:color="auto"/>
            <w:left w:val="none" w:sz="0" w:space="0" w:color="auto"/>
            <w:bottom w:val="none" w:sz="0" w:space="0" w:color="auto"/>
            <w:right w:val="none" w:sz="0" w:space="0" w:color="auto"/>
          </w:divBdr>
        </w:div>
      </w:divsChild>
    </w:div>
    <w:div w:id="615137885">
      <w:bodyDiv w:val="1"/>
      <w:marLeft w:val="0"/>
      <w:marRight w:val="0"/>
      <w:marTop w:val="0"/>
      <w:marBottom w:val="0"/>
      <w:divBdr>
        <w:top w:val="none" w:sz="0" w:space="0" w:color="auto"/>
        <w:left w:val="none" w:sz="0" w:space="0" w:color="auto"/>
        <w:bottom w:val="none" w:sz="0" w:space="0" w:color="auto"/>
        <w:right w:val="none" w:sz="0" w:space="0" w:color="auto"/>
      </w:divBdr>
    </w:div>
    <w:div w:id="640812786">
      <w:bodyDiv w:val="1"/>
      <w:marLeft w:val="0"/>
      <w:marRight w:val="0"/>
      <w:marTop w:val="0"/>
      <w:marBottom w:val="0"/>
      <w:divBdr>
        <w:top w:val="none" w:sz="0" w:space="0" w:color="auto"/>
        <w:left w:val="none" w:sz="0" w:space="0" w:color="auto"/>
        <w:bottom w:val="none" w:sz="0" w:space="0" w:color="auto"/>
        <w:right w:val="none" w:sz="0" w:space="0" w:color="auto"/>
      </w:divBdr>
      <w:divsChild>
        <w:div w:id="49154805">
          <w:marLeft w:val="605"/>
          <w:marRight w:val="0"/>
          <w:marTop w:val="40"/>
          <w:marBottom w:val="80"/>
          <w:divBdr>
            <w:top w:val="none" w:sz="0" w:space="0" w:color="auto"/>
            <w:left w:val="none" w:sz="0" w:space="0" w:color="auto"/>
            <w:bottom w:val="none" w:sz="0" w:space="0" w:color="auto"/>
            <w:right w:val="none" w:sz="0" w:space="0" w:color="auto"/>
          </w:divBdr>
        </w:div>
        <w:div w:id="533347489">
          <w:marLeft w:val="1181"/>
          <w:marRight w:val="0"/>
          <w:marTop w:val="40"/>
          <w:marBottom w:val="80"/>
          <w:divBdr>
            <w:top w:val="none" w:sz="0" w:space="0" w:color="auto"/>
            <w:left w:val="none" w:sz="0" w:space="0" w:color="auto"/>
            <w:bottom w:val="none" w:sz="0" w:space="0" w:color="auto"/>
            <w:right w:val="none" w:sz="0" w:space="0" w:color="auto"/>
          </w:divBdr>
        </w:div>
        <w:div w:id="676733995">
          <w:marLeft w:val="605"/>
          <w:marRight w:val="0"/>
          <w:marTop w:val="40"/>
          <w:marBottom w:val="80"/>
          <w:divBdr>
            <w:top w:val="none" w:sz="0" w:space="0" w:color="auto"/>
            <w:left w:val="none" w:sz="0" w:space="0" w:color="auto"/>
            <w:bottom w:val="none" w:sz="0" w:space="0" w:color="auto"/>
            <w:right w:val="none" w:sz="0" w:space="0" w:color="auto"/>
          </w:divBdr>
        </w:div>
        <w:div w:id="836386294">
          <w:marLeft w:val="605"/>
          <w:marRight w:val="0"/>
          <w:marTop w:val="40"/>
          <w:marBottom w:val="80"/>
          <w:divBdr>
            <w:top w:val="none" w:sz="0" w:space="0" w:color="auto"/>
            <w:left w:val="none" w:sz="0" w:space="0" w:color="auto"/>
            <w:bottom w:val="none" w:sz="0" w:space="0" w:color="auto"/>
            <w:right w:val="none" w:sz="0" w:space="0" w:color="auto"/>
          </w:divBdr>
        </w:div>
        <w:div w:id="968129786">
          <w:marLeft w:val="893"/>
          <w:marRight w:val="0"/>
          <w:marTop w:val="40"/>
          <w:marBottom w:val="80"/>
          <w:divBdr>
            <w:top w:val="none" w:sz="0" w:space="0" w:color="auto"/>
            <w:left w:val="none" w:sz="0" w:space="0" w:color="auto"/>
            <w:bottom w:val="none" w:sz="0" w:space="0" w:color="auto"/>
            <w:right w:val="none" w:sz="0" w:space="0" w:color="auto"/>
          </w:divBdr>
        </w:div>
        <w:div w:id="1948199122">
          <w:marLeft w:val="1181"/>
          <w:marRight w:val="0"/>
          <w:marTop w:val="40"/>
          <w:marBottom w:val="80"/>
          <w:divBdr>
            <w:top w:val="none" w:sz="0" w:space="0" w:color="auto"/>
            <w:left w:val="none" w:sz="0" w:space="0" w:color="auto"/>
            <w:bottom w:val="none" w:sz="0" w:space="0" w:color="auto"/>
            <w:right w:val="none" w:sz="0" w:space="0" w:color="auto"/>
          </w:divBdr>
        </w:div>
        <w:div w:id="2026588290">
          <w:marLeft w:val="1181"/>
          <w:marRight w:val="0"/>
          <w:marTop w:val="40"/>
          <w:marBottom w:val="80"/>
          <w:divBdr>
            <w:top w:val="none" w:sz="0" w:space="0" w:color="auto"/>
            <w:left w:val="none" w:sz="0" w:space="0" w:color="auto"/>
            <w:bottom w:val="none" w:sz="0" w:space="0" w:color="auto"/>
            <w:right w:val="none" w:sz="0" w:space="0" w:color="auto"/>
          </w:divBdr>
        </w:div>
      </w:divsChild>
    </w:div>
    <w:div w:id="663749253">
      <w:bodyDiv w:val="1"/>
      <w:marLeft w:val="0"/>
      <w:marRight w:val="0"/>
      <w:marTop w:val="0"/>
      <w:marBottom w:val="0"/>
      <w:divBdr>
        <w:top w:val="none" w:sz="0" w:space="0" w:color="auto"/>
        <w:left w:val="none" w:sz="0" w:space="0" w:color="auto"/>
        <w:bottom w:val="none" w:sz="0" w:space="0" w:color="auto"/>
        <w:right w:val="none" w:sz="0" w:space="0" w:color="auto"/>
      </w:divBdr>
      <w:divsChild>
        <w:div w:id="101196460">
          <w:marLeft w:val="893"/>
          <w:marRight w:val="0"/>
          <w:marTop w:val="40"/>
          <w:marBottom w:val="80"/>
          <w:divBdr>
            <w:top w:val="none" w:sz="0" w:space="0" w:color="auto"/>
            <w:left w:val="none" w:sz="0" w:space="0" w:color="auto"/>
            <w:bottom w:val="none" w:sz="0" w:space="0" w:color="auto"/>
            <w:right w:val="none" w:sz="0" w:space="0" w:color="auto"/>
          </w:divBdr>
        </w:div>
        <w:div w:id="212273965">
          <w:marLeft w:val="605"/>
          <w:marRight w:val="0"/>
          <w:marTop w:val="40"/>
          <w:marBottom w:val="80"/>
          <w:divBdr>
            <w:top w:val="none" w:sz="0" w:space="0" w:color="auto"/>
            <w:left w:val="none" w:sz="0" w:space="0" w:color="auto"/>
            <w:bottom w:val="none" w:sz="0" w:space="0" w:color="auto"/>
            <w:right w:val="none" w:sz="0" w:space="0" w:color="auto"/>
          </w:divBdr>
        </w:div>
        <w:div w:id="599527373">
          <w:marLeft w:val="893"/>
          <w:marRight w:val="0"/>
          <w:marTop w:val="40"/>
          <w:marBottom w:val="80"/>
          <w:divBdr>
            <w:top w:val="none" w:sz="0" w:space="0" w:color="auto"/>
            <w:left w:val="none" w:sz="0" w:space="0" w:color="auto"/>
            <w:bottom w:val="none" w:sz="0" w:space="0" w:color="auto"/>
            <w:right w:val="none" w:sz="0" w:space="0" w:color="auto"/>
          </w:divBdr>
        </w:div>
        <w:div w:id="913662722">
          <w:marLeft w:val="1454"/>
          <w:marRight w:val="0"/>
          <w:marTop w:val="40"/>
          <w:marBottom w:val="120"/>
          <w:divBdr>
            <w:top w:val="none" w:sz="0" w:space="0" w:color="auto"/>
            <w:left w:val="none" w:sz="0" w:space="0" w:color="auto"/>
            <w:bottom w:val="none" w:sz="0" w:space="0" w:color="auto"/>
            <w:right w:val="none" w:sz="0" w:space="0" w:color="auto"/>
          </w:divBdr>
        </w:div>
        <w:div w:id="984049510">
          <w:marLeft w:val="144"/>
          <w:marRight w:val="0"/>
          <w:marTop w:val="240"/>
          <w:marBottom w:val="40"/>
          <w:divBdr>
            <w:top w:val="none" w:sz="0" w:space="0" w:color="auto"/>
            <w:left w:val="none" w:sz="0" w:space="0" w:color="auto"/>
            <w:bottom w:val="none" w:sz="0" w:space="0" w:color="auto"/>
            <w:right w:val="none" w:sz="0" w:space="0" w:color="auto"/>
          </w:divBdr>
        </w:div>
        <w:div w:id="1024134993">
          <w:marLeft w:val="1454"/>
          <w:marRight w:val="0"/>
          <w:marTop w:val="40"/>
          <w:marBottom w:val="120"/>
          <w:divBdr>
            <w:top w:val="none" w:sz="0" w:space="0" w:color="auto"/>
            <w:left w:val="none" w:sz="0" w:space="0" w:color="auto"/>
            <w:bottom w:val="none" w:sz="0" w:space="0" w:color="auto"/>
            <w:right w:val="none" w:sz="0" w:space="0" w:color="auto"/>
          </w:divBdr>
        </w:div>
        <w:div w:id="1029912072">
          <w:marLeft w:val="1454"/>
          <w:marRight w:val="0"/>
          <w:marTop w:val="40"/>
          <w:marBottom w:val="120"/>
          <w:divBdr>
            <w:top w:val="none" w:sz="0" w:space="0" w:color="auto"/>
            <w:left w:val="none" w:sz="0" w:space="0" w:color="auto"/>
            <w:bottom w:val="none" w:sz="0" w:space="0" w:color="auto"/>
            <w:right w:val="none" w:sz="0" w:space="0" w:color="auto"/>
          </w:divBdr>
        </w:div>
        <w:div w:id="1048994300">
          <w:marLeft w:val="605"/>
          <w:marRight w:val="0"/>
          <w:marTop w:val="40"/>
          <w:marBottom w:val="120"/>
          <w:divBdr>
            <w:top w:val="none" w:sz="0" w:space="0" w:color="auto"/>
            <w:left w:val="none" w:sz="0" w:space="0" w:color="auto"/>
            <w:bottom w:val="none" w:sz="0" w:space="0" w:color="auto"/>
            <w:right w:val="none" w:sz="0" w:space="0" w:color="auto"/>
          </w:divBdr>
        </w:div>
        <w:div w:id="1674647423">
          <w:marLeft w:val="1008"/>
          <w:marRight w:val="0"/>
          <w:marTop w:val="40"/>
          <w:marBottom w:val="120"/>
          <w:divBdr>
            <w:top w:val="none" w:sz="0" w:space="0" w:color="auto"/>
            <w:left w:val="none" w:sz="0" w:space="0" w:color="auto"/>
            <w:bottom w:val="none" w:sz="0" w:space="0" w:color="auto"/>
            <w:right w:val="none" w:sz="0" w:space="0" w:color="auto"/>
          </w:divBdr>
        </w:div>
        <w:div w:id="1831870335">
          <w:marLeft w:val="1454"/>
          <w:marRight w:val="0"/>
          <w:marTop w:val="40"/>
          <w:marBottom w:val="120"/>
          <w:divBdr>
            <w:top w:val="none" w:sz="0" w:space="0" w:color="auto"/>
            <w:left w:val="none" w:sz="0" w:space="0" w:color="auto"/>
            <w:bottom w:val="none" w:sz="0" w:space="0" w:color="auto"/>
            <w:right w:val="none" w:sz="0" w:space="0" w:color="auto"/>
          </w:divBdr>
        </w:div>
        <w:div w:id="1924996162">
          <w:marLeft w:val="605"/>
          <w:marRight w:val="0"/>
          <w:marTop w:val="40"/>
          <w:marBottom w:val="80"/>
          <w:divBdr>
            <w:top w:val="none" w:sz="0" w:space="0" w:color="auto"/>
            <w:left w:val="none" w:sz="0" w:space="0" w:color="auto"/>
            <w:bottom w:val="none" w:sz="0" w:space="0" w:color="auto"/>
            <w:right w:val="none" w:sz="0" w:space="0" w:color="auto"/>
          </w:divBdr>
        </w:div>
      </w:divsChild>
    </w:div>
    <w:div w:id="713509656">
      <w:bodyDiv w:val="1"/>
      <w:marLeft w:val="0"/>
      <w:marRight w:val="0"/>
      <w:marTop w:val="0"/>
      <w:marBottom w:val="0"/>
      <w:divBdr>
        <w:top w:val="none" w:sz="0" w:space="0" w:color="auto"/>
        <w:left w:val="none" w:sz="0" w:space="0" w:color="auto"/>
        <w:bottom w:val="none" w:sz="0" w:space="0" w:color="auto"/>
        <w:right w:val="none" w:sz="0" w:space="0" w:color="auto"/>
      </w:divBdr>
    </w:div>
    <w:div w:id="772481155">
      <w:bodyDiv w:val="1"/>
      <w:marLeft w:val="0"/>
      <w:marRight w:val="0"/>
      <w:marTop w:val="0"/>
      <w:marBottom w:val="0"/>
      <w:divBdr>
        <w:top w:val="none" w:sz="0" w:space="0" w:color="auto"/>
        <w:left w:val="none" w:sz="0" w:space="0" w:color="auto"/>
        <w:bottom w:val="none" w:sz="0" w:space="0" w:color="auto"/>
        <w:right w:val="none" w:sz="0" w:space="0" w:color="auto"/>
      </w:divBdr>
    </w:div>
    <w:div w:id="787285626">
      <w:bodyDiv w:val="1"/>
      <w:marLeft w:val="0"/>
      <w:marRight w:val="0"/>
      <w:marTop w:val="0"/>
      <w:marBottom w:val="0"/>
      <w:divBdr>
        <w:top w:val="none" w:sz="0" w:space="0" w:color="auto"/>
        <w:left w:val="none" w:sz="0" w:space="0" w:color="auto"/>
        <w:bottom w:val="none" w:sz="0" w:space="0" w:color="auto"/>
        <w:right w:val="none" w:sz="0" w:space="0" w:color="auto"/>
      </w:divBdr>
    </w:div>
    <w:div w:id="832061017">
      <w:bodyDiv w:val="1"/>
      <w:marLeft w:val="0"/>
      <w:marRight w:val="0"/>
      <w:marTop w:val="0"/>
      <w:marBottom w:val="0"/>
      <w:divBdr>
        <w:top w:val="none" w:sz="0" w:space="0" w:color="auto"/>
        <w:left w:val="none" w:sz="0" w:space="0" w:color="auto"/>
        <w:bottom w:val="none" w:sz="0" w:space="0" w:color="auto"/>
        <w:right w:val="none" w:sz="0" w:space="0" w:color="auto"/>
      </w:divBdr>
    </w:div>
    <w:div w:id="857501339">
      <w:bodyDiv w:val="1"/>
      <w:marLeft w:val="0"/>
      <w:marRight w:val="0"/>
      <w:marTop w:val="0"/>
      <w:marBottom w:val="0"/>
      <w:divBdr>
        <w:top w:val="none" w:sz="0" w:space="0" w:color="auto"/>
        <w:left w:val="none" w:sz="0" w:space="0" w:color="auto"/>
        <w:bottom w:val="none" w:sz="0" w:space="0" w:color="auto"/>
        <w:right w:val="none" w:sz="0" w:space="0" w:color="auto"/>
      </w:divBdr>
    </w:div>
    <w:div w:id="860900057">
      <w:bodyDiv w:val="1"/>
      <w:marLeft w:val="0"/>
      <w:marRight w:val="0"/>
      <w:marTop w:val="0"/>
      <w:marBottom w:val="0"/>
      <w:divBdr>
        <w:top w:val="none" w:sz="0" w:space="0" w:color="auto"/>
        <w:left w:val="none" w:sz="0" w:space="0" w:color="auto"/>
        <w:bottom w:val="none" w:sz="0" w:space="0" w:color="auto"/>
        <w:right w:val="none" w:sz="0" w:space="0" w:color="auto"/>
      </w:divBdr>
    </w:div>
    <w:div w:id="865488054">
      <w:bodyDiv w:val="1"/>
      <w:marLeft w:val="0"/>
      <w:marRight w:val="0"/>
      <w:marTop w:val="0"/>
      <w:marBottom w:val="0"/>
      <w:divBdr>
        <w:top w:val="none" w:sz="0" w:space="0" w:color="auto"/>
        <w:left w:val="none" w:sz="0" w:space="0" w:color="auto"/>
        <w:bottom w:val="none" w:sz="0" w:space="0" w:color="auto"/>
        <w:right w:val="none" w:sz="0" w:space="0" w:color="auto"/>
      </w:divBdr>
      <w:divsChild>
        <w:div w:id="598635356">
          <w:marLeft w:val="1080"/>
          <w:marRight w:val="0"/>
          <w:marTop w:val="100"/>
          <w:marBottom w:val="0"/>
          <w:divBdr>
            <w:top w:val="none" w:sz="0" w:space="0" w:color="auto"/>
            <w:left w:val="none" w:sz="0" w:space="0" w:color="auto"/>
            <w:bottom w:val="none" w:sz="0" w:space="0" w:color="auto"/>
            <w:right w:val="none" w:sz="0" w:space="0" w:color="auto"/>
          </w:divBdr>
        </w:div>
      </w:divsChild>
    </w:div>
    <w:div w:id="932710327">
      <w:bodyDiv w:val="1"/>
      <w:marLeft w:val="0"/>
      <w:marRight w:val="0"/>
      <w:marTop w:val="0"/>
      <w:marBottom w:val="0"/>
      <w:divBdr>
        <w:top w:val="none" w:sz="0" w:space="0" w:color="auto"/>
        <w:left w:val="none" w:sz="0" w:space="0" w:color="auto"/>
        <w:bottom w:val="none" w:sz="0" w:space="0" w:color="auto"/>
        <w:right w:val="none" w:sz="0" w:space="0" w:color="auto"/>
      </w:divBdr>
      <w:divsChild>
        <w:div w:id="106390971">
          <w:marLeft w:val="360"/>
          <w:marRight w:val="0"/>
          <w:marTop w:val="200"/>
          <w:marBottom w:val="0"/>
          <w:divBdr>
            <w:top w:val="none" w:sz="0" w:space="0" w:color="auto"/>
            <w:left w:val="none" w:sz="0" w:space="0" w:color="auto"/>
            <w:bottom w:val="none" w:sz="0" w:space="0" w:color="auto"/>
            <w:right w:val="none" w:sz="0" w:space="0" w:color="auto"/>
          </w:divBdr>
        </w:div>
        <w:div w:id="275647170">
          <w:marLeft w:val="1080"/>
          <w:marRight w:val="0"/>
          <w:marTop w:val="100"/>
          <w:marBottom w:val="0"/>
          <w:divBdr>
            <w:top w:val="none" w:sz="0" w:space="0" w:color="auto"/>
            <w:left w:val="none" w:sz="0" w:space="0" w:color="auto"/>
            <w:bottom w:val="none" w:sz="0" w:space="0" w:color="auto"/>
            <w:right w:val="none" w:sz="0" w:space="0" w:color="auto"/>
          </w:divBdr>
        </w:div>
        <w:div w:id="1460103139">
          <w:marLeft w:val="1080"/>
          <w:marRight w:val="0"/>
          <w:marTop w:val="100"/>
          <w:marBottom w:val="0"/>
          <w:divBdr>
            <w:top w:val="none" w:sz="0" w:space="0" w:color="auto"/>
            <w:left w:val="none" w:sz="0" w:space="0" w:color="auto"/>
            <w:bottom w:val="none" w:sz="0" w:space="0" w:color="auto"/>
            <w:right w:val="none" w:sz="0" w:space="0" w:color="auto"/>
          </w:divBdr>
        </w:div>
      </w:divsChild>
    </w:div>
    <w:div w:id="951664191">
      <w:bodyDiv w:val="1"/>
      <w:marLeft w:val="0"/>
      <w:marRight w:val="0"/>
      <w:marTop w:val="0"/>
      <w:marBottom w:val="0"/>
      <w:divBdr>
        <w:top w:val="none" w:sz="0" w:space="0" w:color="auto"/>
        <w:left w:val="none" w:sz="0" w:space="0" w:color="auto"/>
        <w:bottom w:val="none" w:sz="0" w:space="0" w:color="auto"/>
        <w:right w:val="none" w:sz="0" w:space="0" w:color="auto"/>
      </w:divBdr>
    </w:div>
    <w:div w:id="964123827">
      <w:bodyDiv w:val="1"/>
      <w:marLeft w:val="0"/>
      <w:marRight w:val="0"/>
      <w:marTop w:val="0"/>
      <w:marBottom w:val="0"/>
      <w:divBdr>
        <w:top w:val="none" w:sz="0" w:space="0" w:color="auto"/>
        <w:left w:val="none" w:sz="0" w:space="0" w:color="auto"/>
        <w:bottom w:val="none" w:sz="0" w:space="0" w:color="auto"/>
        <w:right w:val="none" w:sz="0" w:space="0" w:color="auto"/>
      </w:divBdr>
    </w:div>
    <w:div w:id="1010331323">
      <w:bodyDiv w:val="1"/>
      <w:marLeft w:val="0"/>
      <w:marRight w:val="0"/>
      <w:marTop w:val="0"/>
      <w:marBottom w:val="0"/>
      <w:divBdr>
        <w:top w:val="none" w:sz="0" w:space="0" w:color="auto"/>
        <w:left w:val="none" w:sz="0" w:space="0" w:color="auto"/>
        <w:bottom w:val="none" w:sz="0" w:space="0" w:color="auto"/>
        <w:right w:val="none" w:sz="0" w:space="0" w:color="auto"/>
      </w:divBdr>
      <w:divsChild>
        <w:div w:id="279920471">
          <w:marLeft w:val="3240"/>
          <w:marRight w:val="0"/>
          <w:marTop w:val="100"/>
          <w:marBottom w:val="0"/>
          <w:divBdr>
            <w:top w:val="none" w:sz="0" w:space="0" w:color="auto"/>
            <w:left w:val="none" w:sz="0" w:space="0" w:color="auto"/>
            <w:bottom w:val="none" w:sz="0" w:space="0" w:color="auto"/>
            <w:right w:val="none" w:sz="0" w:space="0" w:color="auto"/>
          </w:divBdr>
        </w:div>
        <w:div w:id="1053890176">
          <w:marLeft w:val="2520"/>
          <w:marRight w:val="0"/>
          <w:marTop w:val="100"/>
          <w:marBottom w:val="0"/>
          <w:divBdr>
            <w:top w:val="none" w:sz="0" w:space="0" w:color="auto"/>
            <w:left w:val="none" w:sz="0" w:space="0" w:color="auto"/>
            <w:bottom w:val="none" w:sz="0" w:space="0" w:color="auto"/>
            <w:right w:val="none" w:sz="0" w:space="0" w:color="auto"/>
          </w:divBdr>
        </w:div>
        <w:div w:id="1453013204">
          <w:marLeft w:val="1800"/>
          <w:marRight w:val="0"/>
          <w:marTop w:val="100"/>
          <w:marBottom w:val="0"/>
          <w:divBdr>
            <w:top w:val="none" w:sz="0" w:space="0" w:color="auto"/>
            <w:left w:val="none" w:sz="0" w:space="0" w:color="auto"/>
            <w:bottom w:val="none" w:sz="0" w:space="0" w:color="auto"/>
            <w:right w:val="none" w:sz="0" w:space="0" w:color="auto"/>
          </w:divBdr>
        </w:div>
        <w:div w:id="1603604313">
          <w:marLeft w:val="3240"/>
          <w:marRight w:val="0"/>
          <w:marTop w:val="100"/>
          <w:marBottom w:val="0"/>
          <w:divBdr>
            <w:top w:val="none" w:sz="0" w:space="0" w:color="auto"/>
            <w:left w:val="none" w:sz="0" w:space="0" w:color="auto"/>
            <w:bottom w:val="none" w:sz="0" w:space="0" w:color="auto"/>
            <w:right w:val="none" w:sz="0" w:space="0" w:color="auto"/>
          </w:divBdr>
        </w:div>
        <w:div w:id="1898319405">
          <w:marLeft w:val="2520"/>
          <w:marRight w:val="0"/>
          <w:marTop w:val="100"/>
          <w:marBottom w:val="0"/>
          <w:divBdr>
            <w:top w:val="none" w:sz="0" w:space="0" w:color="auto"/>
            <w:left w:val="none" w:sz="0" w:space="0" w:color="auto"/>
            <w:bottom w:val="none" w:sz="0" w:space="0" w:color="auto"/>
            <w:right w:val="none" w:sz="0" w:space="0" w:color="auto"/>
          </w:divBdr>
        </w:div>
        <w:div w:id="1991009741">
          <w:marLeft w:val="1080"/>
          <w:marRight w:val="0"/>
          <w:marTop w:val="100"/>
          <w:marBottom w:val="0"/>
          <w:divBdr>
            <w:top w:val="none" w:sz="0" w:space="0" w:color="auto"/>
            <w:left w:val="none" w:sz="0" w:space="0" w:color="auto"/>
            <w:bottom w:val="none" w:sz="0" w:space="0" w:color="auto"/>
            <w:right w:val="none" w:sz="0" w:space="0" w:color="auto"/>
          </w:divBdr>
        </w:div>
      </w:divsChild>
    </w:div>
    <w:div w:id="1035929741">
      <w:bodyDiv w:val="1"/>
      <w:marLeft w:val="0"/>
      <w:marRight w:val="0"/>
      <w:marTop w:val="0"/>
      <w:marBottom w:val="0"/>
      <w:divBdr>
        <w:top w:val="none" w:sz="0" w:space="0" w:color="auto"/>
        <w:left w:val="none" w:sz="0" w:space="0" w:color="auto"/>
        <w:bottom w:val="none" w:sz="0" w:space="0" w:color="auto"/>
        <w:right w:val="none" w:sz="0" w:space="0" w:color="auto"/>
      </w:divBdr>
      <w:divsChild>
        <w:div w:id="136458616">
          <w:marLeft w:val="1800"/>
          <w:marRight w:val="0"/>
          <w:marTop w:val="100"/>
          <w:marBottom w:val="0"/>
          <w:divBdr>
            <w:top w:val="none" w:sz="0" w:space="0" w:color="auto"/>
            <w:left w:val="none" w:sz="0" w:space="0" w:color="auto"/>
            <w:bottom w:val="none" w:sz="0" w:space="0" w:color="auto"/>
            <w:right w:val="none" w:sz="0" w:space="0" w:color="auto"/>
          </w:divBdr>
        </w:div>
        <w:div w:id="310790708">
          <w:marLeft w:val="1080"/>
          <w:marRight w:val="0"/>
          <w:marTop w:val="100"/>
          <w:marBottom w:val="0"/>
          <w:divBdr>
            <w:top w:val="none" w:sz="0" w:space="0" w:color="auto"/>
            <w:left w:val="none" w:sz="0" w:space="0" w:color="auto"/>
            <w:bottom w:val="none" w:sz="0" w:space="0" w:color="auto"/>
            <w:right w:val="none" w:sz="0" w:space="0" w:color="auto"/>
          </w:divBdr>
        </w:div>
        <w:div w:id="966080539">
          <w:marLeft w:val="1800"/>
          <w:marRight w:val="0"/>
          <w:marTop w:val="100"/>
          <w:marBottom w:val="0"/>
          <w:divBdr>
            <w:top w:val="none" w:sz="0" w:space="0" w:color="auto"/>
            <w:left w:val="none" w:sz="0" w:space="0" w:color="auto"/>
            <w:bottom w:val="none" w:sz="0" w:space="0" w:color="auto"/>
            <w:right w:val="none" w:sz="0" w:space="0" w:color="auto"/>
          </w:divBdr>
        </w:div>
        <w:div w:id="1755737265">
          <w:marLeft w:val="1080"/>
          <w:marRight w:val="0"/>
          <w:marTop w:val="100"/>
          <w:marBottom w:val="0"/>
          <w:divBdr>
            <w:top w:val="none" w:sz="0" w:space="0" w:color="auto"/>
            <w:left w:val="none" w:sz="0" w:space="0" w:color="auto"/>
            <w:bottom w:val="none" w:sz="0" w:space="0" w:color="auto"/>
            <w:right w:val="none" w:sz="0" w:space="0" w:color="auto"/>
          </w:divBdr>
        </w:div>
        <w:div w:id="1916429874">
          <w:marLeft w:val="1800"/>
          <w:marRight w:val="0"/>
          <w:marTop w:val="100"/>
          <w:marBottom w:val="0"/>
          <w:divBdr>
            <w:top w:val="none" w:sz="0" w:space="0" w:color="auto"/>
            <w:left w:val="none" w:sz="0" w:space="0" w:color="auto"/>
            <w:bottom w:val="none" w:sz="0" w:space="0" w:color="auto"/>
            <w:right w:val="none" w:sz="0" w:space="0" w:color="auto"/>
          </w:divBdr>
        </w:div>
        <w:div w:id="2035300858">
          <w:marLeft w:val="1800"/>
          <w:marRight w:val="0"/>
          <w:marTop w:val="100"/>
          <w:marBottom w:val="0"/>
          <w:divBdr>
            <w:top w:val="none" w:sz="0" w:space="0" w:color="auto"/>
            <w:left w:val="none" w:sz="0" w:space="0" w:color="auto"/>
            <w:bottom w:val="none" w:sz="0" w:space="0" w:color="auto"/>
            <w:right w:val="none" w:sz="0" w:space="0" w:color="auto"/>
          </w:divBdr>
        </w:div>
      </w:divsChild>
    </w:div>
    <w:div w:id="1037657731">
      <w:bodyDiv w:val="1"/>
      <w:marLeft w:val="0"/>
      <w:marRight w:val="0"/>
      <w:marTop w:val="0"/>
      <w:marBottom w:val="0"/>
      <w:divBdr>
        <w:top w:val="none" w:sz="0" w:space="0" w:color="auto"/>
        <w:left w:val="none" w:sz="0" w:space="0" w:color="auto"/>
        <w:bottom w:val="none" w:sz="0" w:space="0" w:color="auto"/>
        <w:right w:val="none" w:sz="0" w:space="0" w:color="auto"/>
      </w:divBdr>
    </w:div>
    <w:div w:id="1135222622">
      <w:bodyDiv w:val="1"/>
      <w:marLeft w:val="0"/>
      <w:marRight w:val="0"/>
      <w:marTop w:val="0"/>
      <w:marBottom w:val="0"/>
      <w:divBdr>
        <w:top w:val="none" w:sz="0" w:space="0" w:color="auto"/>
        <w:left w:val="none" w:sz="0" w:space="0" w:color="auto"/>
        <w:bottom w:val="none" w:sz="0" w:space="0" w:color="auto"/>
        <w:right w:val="none" w:sz="0" w:space="0" w:color="auto"/>
      </w:divBdr>
    </w:div>
    <w:div w:id="1227300538">
      <w:bodyDiv w:val="1"/>
      <w:marLeft w:val="0"/>
      <w:marRight w:val="0"/>
      <w:marTop w:val="0"/>
      <w:marBottom w:val="0"/>
      <w:divBdr>
        <w:top w:val="none" w:sz="0" w:space="0" w:color="auto"/>
        <w:left w:val="none" w:sz="0" w:space="0" w:color="auto"/>
        <w:bottom w:val="none" w:sz="0" w:space="0" w:color="auto"/>
        <w:right w:val="none" w:sz="0" w:space="0" w:color="auto"/>
      </w:divBdr>
    </w:div>
    <w:div w:id="1229613987">
      <w:bodyDiv w:val="1"/>
      <w:marLeft w:val="0"/>
      <w:marRight w:val="0"/>
      <w:marTop w:val="0"/>
      <w:marBottom w:val="0"/>
      <w:divBdr>
        <w:top w:val="none" w:sz="0" w:space="0" w:color="auto"/>
        <w:left w:val="none" w:sz="0" w:space="0" w:color="auto"/>
        <w:bottom w:val="none" w:sz="0" w:space="0" w:color="auto"/>
        <w:right w:val="none" w:sz="0" w:space="0" w:color="auto"/>
      </w:divBdr>
    </w:div>
    <w:div w:id="1246571406">
      <w:bodyDiv w:val="1"/>
      <w:marLeft w:val="0"/>
      <w:marRight w:val="0"/>
      <w:marTop w:val="0"/>
      <w:marBottom w:val="0"/>
      <w:divBdr>
        <w:top w:val="none" w:sz="0" w:space="0" w:color="auto"/>
        <w:left w:val="none" w:sz="0" w:space="0" w:color="auto"/>
        <w:bottom w:val="none" w:sz="0" w:space="0" w:color="auto"/>
        <w:right w:val="none" w:sz="0" w:space="0" w:color="auto"/>
      </w:divBdr>
    </w:div>
    <w:div w:id="1273898471">
      <w:bodyDiv w:val="1"/>
      <w:marLeft w:val="0"/>
      <w:marRight w:val="0"/>
      <w:marTop w:val="0"/>
      <w:marBottom w:val="0"/>
      <w:divBdr>
        <w:top w:val="none" w:sz="0" w:space="0" w:color="auto"/>
        <w:left w:val="none" w:sz="0" w:space="0" w:color="auto"/>
        <w:bottom w:val="none" w:sz="0" w:space="0" w:color="auto"/>
        <w:right w:val="none" w:sz="0" w:space="0" w:color="auto"/>
      </w:divBdr>
    </w:div>
    <w:div w:id="1283266037">
      <w:bodyDiv w:val="1"/>
      <w:marLeft w:val="0"/>
      <w:marRight w:val="0"/>
      <w:marTop w:val="0"/>
      <w:marBottom w:val="0"/>
      <w:divBdr>
        <w:top w:val="none" w:sz="0" w:space="0" w:color="auto"/>
        <w:left w:val="none" w:sz="0" w:space="0" w:color="auto"/>
        <w:bottom w:val="none" w:sz="0" w:space="0" w:color="auto"/>
        <w:right w:val="none" w:sz="0" w:space="0" w:color="auto"/>
      </w:divBdr>
    </w:div>
    <w:div w:id="1317153291">
      <w:bodyDiv w:val="1"/>
      <w:marLeft w:val="0"/>
      <w:marRight w:val="0"/>
      <w:marTop w:val="0"/>
      <w:marBottom w:val="0"/>
      <w:divBdr>
        <w:top w:val="none" w:sz="0" w:space="0" w:color="auto"/>
        <w:left w:val="none" w:sz="0" w:space="0" w:color="auto"/>
        <w:bottom w:val="none" w:sz="0" w:space="0" w:color="auto"/>
        <w:right w:val="none" w:sz="0" w:space="0" w:color="auto"/>
      </w:divBdr>
    </w:div>
    <w:div w:id="1401367311">
      <w:bodyDiv w:val="1"/>
      <w:marLeft w:val="0"/>
      <w:marRight w:val="0"/>
      <w:marTop w:val="0"/>
      <w:marBottom w:val="0"/>
      <w:divBdr>
        <w:top w:val="none" w:sz="0" w:space="0" w:color="auto"/>
        <w:left w:val="none" w:sz="0" w:space="0" w:color="auto"/>
        <w:bottom w:val="none" w:sz="0" w:space="0" w:color="auto"/>
        <w:right w:val="none" w:sz="0" w:space="0" w:color="auto"/>
      </w:divBdr>
    </w:div>
    <w:div w:id="1414084959">
      <w:bodyDiv w:val="1"/>
      <w:marLeft w:val="0"/>
      <w:marRight w:val="0"/>
      <w:marTop w:val="0"/>
      <w:marBottom w:val="0"/>
      <w:divBdr>
        <w:top w:val="none" w:sz="0" w:space="0" w:color="auto"/>
        <w:left w:val="none" w:sz="0" w:space="0" w:color="auto"/>
        <w:bottom w:val="none" w:sz="0" w:space="0" w:color="auto"/>
        <w:right w:val="none" w:sz="0" w:space="0" w:color="auto"/>
      </w:divBdr>
    </w:div>
    <w:div w:id="1438285177">
      <w:bodyDiv w:val="1"/>
      <w:marLeft w:val="0"/>
      <w:marRight w:val="0"/>
      <w:marTop w:val="0"/>
      <w:marBottom w:val="0"/>
      <w:divBdr>
        <w:top w:val="none" w:sz="0" w:space="0" w:color="auto"/>
        <w:left w:val="none" w:sz="0" w:space="0" w:color="auto"/>
        <w:bottom w:val="none" w:sz="0" w:space="0" w:color="auto"/>
        <w:right w:val="none" w:sz="0" w:space="0" w:color="auto"/>
      </w:divBdr>
    </w:div>
    <w:div w:id="1466464812">
      <w:bodyDiv w:val="1"/>
      <w:marLeft w:val="0"/>
      <w:marRight w:val="0"/>
      <w:marTop w:val="0"/>
      <w:marBottom w:val="0"/>
      <w:divBdr>
        <w:top w:val="none" w:sz="0" w:space="0" w:color="auto"/>
        <w:left w:val="none" w:sz="0" w:space="0" w:color="auto"/>
        <w:bottom w:val="none" w:sz="0" w:space="0" w:color="auto"/>
        <w:right w:val="none" w:sz="0" w:space="0" w:color="auto"/>
      </w:divBdr>
    </w:div>
    <w:div w:id="1468665098">
      <w:bodyDiv w:val="1"/>
      <w:marLeft w:val="0"/>
      <w:marRight w:val="0"/>
      <w:marTop w:val="0"/>
      <w:marBottom w:val="0"/>
      <w:divBdr>
        <w:top w:val="none" w:sz="0" w:space="0" w:color="auto"/>
        <w:left w:val="none" w:sz="0" w:space="0" w:color="auto"/>
        <w:bottom w:val="none" w:sz="0" w:space="0" w:color="auto"/>
        <w:right w:val="none" w:sz="0" w:space="0" w:color="auto"/>
      </w:divBdr>
    </w:div>
    <w:div w:id="1481575901">
      <w:bodyDiv w:val="1"/>
      <w:marLeft w:val="0"/>
      <w:marRight w:val="0"/>
      <w:marTop w:val="0"/>
      <w:marBottom w:val="0"/>
      <w:divBdr>
        <w:top w:val="none" w:sz="0" w:space="0" w:color="auto"/>
        <w:left w:val="none" w:sz="0" w:space="0" w:color="auto"/>
        <w:bottom w:val="none" w:sz="0" w:space="0" w:color="auto"/>
        <w:right w:val="none" w:sz="0" w:space="0" w:color="auto"/>
      </w:divBdr>
      <w:divsChild>
        <w:div w:id="416099684">
          <w:marLeft w:val="893"/>
          <w:marRight w:val="0"/>
          <w:marTop w:val="40"/>
          <w:marBottom w:val="80"/>
          <w:divBdr>
            <w:top w:val="none" w:sz="0" w:space="0" w:color="auto"/>
            <w:left w:val="none" w:sz="0" w:space="0" w:color="auto"/>
            <w:bottom w:val="none" w:sz="0" w:space="0" w:color="auto"/>
            <w:right w:val="none" w:sz="0" w:space="0" w:color="auto"/>
          </w:divBdr>
        </w:div>
        <w:div w:id="576283415">
          <w:marLeft w:val="1454"/>
          <w:marRight w:val="0"/>
          <w:marTop w:val="40"/>
          <w:marBottom w:val="120"/>
          <w:divBdr>
            <w:top w:val="none" w:sz="0" w:space="0" w:color="auto"/>
            <w:left w:val="none" w:sz="0" w:space="0" w:color="auto"/>
            <w:bottom w:val="none" w:sz="0" w:space="0" w:color="auto"/>
            <w:right w:val="none" w:sz="0" w:space="0" w:color="auto"/>
          </w:divBdr>
        </w:div>
        <w:div w:id="912273479">
          <w:marLeft w:val="1454"/>
          <w:marRight w:val="0"/>
          <w:marTop w:val="40"/>
          <w:marBottom w:val="120"/>
          <w:divBdr>
            <w:top w:val="none" w:sz="0" w:space="0" w:color="auto"/>
            <w:left w:val="none" w:sz="0" w:space="0" w:color="auto"/>
            <w:bottom w:val="none" w:sz="0" w:space="0" w:color="auto"/>
            <w:right w:val="none" w:sz="0" w:space="0" w:color="auto"/>
          </w:divBdr>
        </w:div>
        <w:div w:id="1174340767">
          <w:marLeft w:val="1454"/>
          <w:marRight w:val="0"/>
          <w:marTop w:val="40"/>
          <w:marBottom w:val="120"/>
          <w:divBdr>
            <w:top w:val="none" w:sz="0" w:space="0" w:color="auto"/>
            <w:left w:val="none" w:sz="0" w:space="0" w:color="auto"/>
            <w:bottom w:val="none" w:sz="0" w:space="0" w:color="auto"/>
            <w:right w:val="none" w:sz="0" w:space="0" w:color="auto"/>
          </w:divBdr>
        </w:div>
        <w:div w:id="1236359063">
          <w:marLeft w:val="605"/>
          <w:marRight w:val="0"/>
          <w:marTop w:val="40"/>
          <w:marBottom w:val="80"/>
          <w:divBdr>
            <w:top w:val="none" w:sz="0" w:space="0" w:color="auto"/>
            <w:left w:val="none" w:sz="0" w:space="0" w:color="auto"/>
            <w:bottom w:val="none" w:sz="0" w:space="0" w:color="auto"/>
            <w:right w:val="none" w:sz="0" w:space="0" w:color="auto"/>
          </w:divBdr>
        </w:div>
        <w:div w:id="1385638571">
          <w:marLeft w:val="144"/>
          <w:marRight w:val="0"/>
          <w:marTop w:val="240"/>
          <w:marBottom w:val="40"/>
          <w:divBdr>
            <w:top w:val="none" w:sz="0" w:space="0" w:color="auto"/>
            <w:left w:val="none" w:sz="0" w:space="0" w:color="auto"/>
            <w:bottom w:val="none" w:sz="0" w:space="0" w:color="auto"/>
            <w:right w:val="none" w:sz="0" w:space="0" w:color="auto"/>
          </w:divBdr>
        </w:div>
        <w:div w:id="1572622141">
          <w:marLeft w:val="1008"/>
          <w:marRight w:val="0"/>
          <w:marTop w:val="40"/>
          <w:marBottom w:val="120"/>
          <w:divBdr>
            <w:top w:val="none" w:sz="0" w:space="0" w:color="auto"/>
            <w:left w:val="none" w:sz="0" w:space="0" w:color="auto"/>
            <w:bottom w:val="none" w:sz="0" w:space="0" w:color="auto"/>
            <w:right w:val="none" w:sz="0" w:space="0" w:color="auto"/>
          </w:divBdr>
        </w:div>
        <w:div w:id="1630478804">
          <w:marLeft w:val="1454"/>
          <w:marRight w:val="0"/>
          <w:marTop w:val="40"/>
          <w:marBottom w:val="120"/>
          <w:divBdr>
            <w:top w:val="none" w:sz="0" w:space="0" w:color="auto"/>
            <w:left w:val="none" w:sz="0" w:space="0" w:color="auto"/>
            <w:bottom w:val="none" w:sz="0" w:space="0" w:color="auto"/>
            <w:right w:val="none" w:sz="0" w:space="0" w:color="auto"/>
          </w:divBdr>
        </w:div>
        <w:div w:id="1886260087">
          <w:marLeft w:val="605"/>
          <w:marRight w:val="0"/>
          <w:marTop w:val="40"/>
          <w:marBottom w:val="80"/>
          <w:divBdr>
            <w:top w:val="none" w:sz="0" w:space="0" w:color="auto"/>
            <w:left w:val="none" w:sz="0" w:space="0" w:color="auto"/>
            <w:bottom w:val="none" w:sz="0" w:space="0" w:color="auto"/>
            <w:right w:val="none" w:sz="0" w:space="0" w:color="auto"/>
          </w:divBdr>
        </w:div>
        <w:div w:id="2085106968">
          <w:marLeft w:val="605"/>
          <w:marRight w:val="0"/>
          <w:marTop w:val="40"/>
          <w:marBottom w:val="120"/>
          <w:divBdr>
            <w:top w:val="none" w:sz="0" w:space="0" w:color="auto"/>
            <w:left w:val="none" w:sz="0" w:space="0" w:color="auto"/>
            <w:bottom w:val="none" w:sz="0" w:space="0" w:color="auto"/>
            <w:right w:val="none" w:sz="0" w:space="0" w:color="auto"/>
          </w:divBdr>
        </w:div>
        <w:div w:id="2101171112">
          <w:marLeft w:val="893"/>
          <w:marRight w:val="0"/>
          <w:marTop w:val="40"/>
          <w:marBottom w:val="80"/>
          <w:divBdr>
            <w:top w:val="none" w:sz="0" w:space="0" w:color="auto"/>
            <w:left w:val="none" w:sz="0" w:space="0" w:color="auto"/>
            <w:bottom w:val="none" w:sz="0" w:space="0" w:color="auto"/>
            <w:right w:val="none" w:sz="0" w:space="0" w:color="auto"/>
          </w:divBdr>
        </w:div>
      </w:divsChild>
    </w:div>
    <w:div w:id="1500005244">
      <w:bodyDiv w:val="1"/>
      <w:marLeft w:val="0"/>
      <w:marRight w:val="0"/>
      <w:marTop w:val="0"/>
      <w:marBottom w:val="0"/>
      <w:divBdr>
        <w:top w:val="none" w:sz="0" w:space="0" w:color="auto"/>
        <w:left w:val="none" w:sz="0" w:space="0" w:color="auto"/>
        <w:bottom w:val="none" w:sz="0" w:space="0" w:color="auto"/>
        <w:right w:val="none" w:sz="0" w:space="0" w:color="auto"/>
      </w:divBdr>
    </w:div>
    <w:div w:id="1537501919">
      <w:bodyDiv w:val="1"/>
      <w:marLeft w:val="0"/>
      <w:marRight w:val="0"/>
      <w:marTop w:val="0"/>
      <w:marBottom w:val="0"/>
      <w:divBdr>
        <w:top w:val="none" w:sz="0" w:space="0" w:color="auto"/>
        <w:left w:val="none" w:sz="0" w:space="0" w:color="auto"/>
        <w:bottom w:val="none" w:sz="0" w:space="0" w:color="auto"/>
        <w:right w:val="none" w:sz="0" w:space="0" w:color="auto"/>
      </w:divBdr>
      <w:divsChild>
        <w:div w:id="830800628">
          <w:marLeft w:val="360"/>
          <w:marRight w:val="0"/>
          <w:marTop w:val="200"/>
          <w:marBottom w:val="0"/>
          <w:divBdr>
            <w:top w:val="none" w:sz="0" w:space="0" w:color="auto"/>
            <w:left w:val="none" w:sz="0" w:space="0" w:color="auto"/>
            <w:bottom w:val="none" w:sz="0" w:space="0" w:color="auto"/>
            <w:right w:val="none" w:sz="0" w:space="0" w:color="auto"/>
          </w:divBdr>
        </w:div>
      </w:divsChild>
    </w:div>
    <w:div w:id="1581603066">
      <w:bodyDiv w:val="1"/>
      <w:marLeft w:val="0"/>
      <w:marRight w:val="0"/>
      <w:marTop w:val="0"/>
      <w:marBottom w:val="0"/>
      <w:divBdr>
        <w:top w:val="none" w:sz="0" w:space="0" w:color="auto"/>
        <w:left w:val="none" w:sz="0" w:space="0" w:color="auto"/>
        <w:bottom w:val="none" w:sz="0" w:space="0" w:color="auto"/>
        <w:right w:val="none" w:sz="0" w:space="0" w:color="auto"/>
      </w:divBdr>
    </w:div>
    <w:div w:id="1587374210">
      <w:bodyDiv w:val="1"/>
      <w:marLeft w:val="0"/>
      <w:marRight w:val="0"/>
      <w:marTop w:val="0"/>
      <w:marBottom w:val="0"/>
      <w:divBdr>
        <w:top w:val="none" w:sz="0" w:space="0" w:color="auto"/>
        <w:left w:val="none" w:sz="0" w:space="0" w:color="auto"/>
        <w:bottom w:val="none" w:sz="0" w:space="0" w:color="auto"/>
        <w:right w:val="none" w:sz="0" w:space="0" w:color="auto"/>
      </w:divBdr>
    </w:div>
    <w:div w:id="1591155154">
      <w:bodyDiv w:val="1"/>
      <w:marLeft w:val="0"/>
      <w:marRight w:val="0"/>
      <w:marTop w:val="0"/>
      <w:marBottom w:val="0"/>
      <w:divBdr>
        <w:top w:val="none" w:sz="0" w:space="0" w:color="auto"/>
        <w:left w:val="none" w:sz="0" w:space="0" w:color="auto"/>
        <w:bottom w:val="none" w:sz="0" w:space="0" w:color="auto"/>
        <w:right w:val="none" w:sz="0" w:space="0" w:color="auto"/>
      </w:divBdr>
    </w:div>
    <w:div w:id="1684437030">
      <w:bodyDiv w:val="1"/>
      <w:marLeft w:val="0"/>
      <w:marRight w:val="0"/>
      <w:marTop w:val="0"/>
      <w:marBottom w:val="0"/>
      <w:divBdr>
        <w:top w:val="none" w:sz="0" w:space="0" w:color="auto"/>
        <w:left w:val="none" w:sz="0" w:space="0" w:color="auto"/>
        <w:bottom w:val="none" w:sz="0" w:space="0" w:color="auto"/>
        <w:right w:val="none" w:sz="0" w:space="0" w:color="auto"/>
      </w:divBdr>
    </w:div>
    <w:div w:id="1686707979">
      <w:bodyDiv w:val="1"/>
      <w:marLeft w:val="0"/>
      <w:marRight w:val="0"/>
      <w:marTop w:val="0"/>
      <w:marBottom w:val="0"/>
      <w:divBdr>
        <w:top w:val="none" w:sz="0" w:space="0" w:color="auto"/>
        <w:left w:val="none" w:sz="0" w:space="0" w:color="auto"/>
        <w:bottom w:val="none" w:sz="0" w:space="0" w:color="auto"/>
        <w:right w:val="none" w:sz="0" w:space="0" w:color="auto"/>
      </w:divBdr>
    </w:div>
    <w:div w:id="1805544333">
      <w:bodyDiv w:val="1"/>
      <w:marLeft w:val="0"/>
      <w:marRight w:val="0"/>
      <w:marTop w:val="0"/>
      <w:marBottom w:val="0"/>
      <w:divBdr>
        <w:top w:val="none" w:sz="0" w:space="0" w:color="auto"/>
        <w:left w:val="none" w:sz="0" w:space="0" w:color="auto"/>
        <w:bottom w:val="none" w:sz="0" w:space="0" w:color="auto"/>
        <w:right w:val="none" w:sz="0" w:space="0" w:color="auto"/>
      </w:divBdr>
      <w:divsChild>
        <w:div w:id="165675302">
          <w:marLeft w:val="1800"/>
          <w:marRight w:val="0"/>
          <w:marTop w:val="100"/>
          <w:marBottom w:val="0"/>
          <w:divBdr>
            <w:top w:val="none" w:sz="0" w:space="0" w:color="auto"/>
            <w:left w:val="none" w:sz="0" w:space="0" w:color="auto"/>
            <w:bottom w:val="none" w:sz="0" w:space="0" w:color="auto"/>
            <w:right w:val="none" w:sz="0" w:space="0" w:color="auto"/>
          </w:divBdr>
        </w:div>
        <w:div w:id="466779336">
          <w:marLeft w:val="1080"/>
          <w:marRight w:val="0"/>
          <w:marTop w:val="100"/>
          <w:marBottom w:val="0"/>
          <w:divBdr>
            <w:top w:val="none" w:sz="0" w:space="0" w:color="auto"/>
            <w:left w:val="none" w:sz="0" w:space="0" w:color="auto"/>
            <w:bottom w:val="none" w:sz="0" w:space="0" w:color="auto"/>
            <w:right w:val="none" w:sz="0" w:space="0" w:color="auto"/>
          </w:divBdr>
        </w:div>
        <w:div w:id="1024749365">
          <w:marLeft w:val="2520"/>
          <w:marRight w:val="0"/>
          <w:marTop w:val="100"/>
          <w:marBottom w:val="0"/>
          <w:divBdr>
            <w:top w:val="none" w:sz="0" w:space="0" w:color="auto"/>
            <w:left w:val="none" w:sz="0" w:space="0" w:color="auto"/>
            <w:bottom w:val="none" w:sz="0" w:space="0" w:color="auto"/>
            <w:right w:val="none" w:sz="0" w:space="0" w:color="auto"/>
          </w:divBdr>
        </w:div>
        <w:div w:id="1624967745">
          <w:marLeft w:val="2520"/>
          <w:marRight w:val="0"/>
          <w:marTop w:val="100"/>
          <w:marBottom w:val="0"/>
          <w:divBdr>
            <w:top w:val="none" w:sz="0" w:space="0" w:color="auto"/>
            <w:left w:val="none" w:sz="0" w:space="0" w:color="auto"/>
            <w:bottom w:val="none" w:sz="0" w:space="0" w:color="auto"/>
            <w:right w:val="none" w:sz="0" w:space="0" w:color="auto"/>
          </w:divBdr>
        </w:div>
        <w:div w:id="1861814274">
          <w:marLeft w:val="2520"/>
          <w:marRight w:val="0"/>
          <w:marTop w:val="100"/>
          <w:marBottom w:val="0"/>
          <w:divBdr>
            <w:top w:val="none" w:sz="0" w:space="0" w:color="auto"/>
            <w:left w:val="none" w:sz="0" w:space="0" w:color="auto"/>
            <w:bottom w:val="none" w:sz="0" w:space="0" w:color="auto"/>
            <w:right w:val="none" w:sz="0" w:space="0" w:color="auto"/>
          </w:divBdr>
        </w:div>
      </w:divsChild>
    </w:div>
    <w:div w:id="1822428388">
      <w:bodyDiv w:val="1"/>
      <w:marLeft w:val="0"/>
      <w:marRight w:val="0"/>
      <w:marTop w:val="0"/>
      <w:marBottom w:val="0"/>
      <w:divBdr>
        <w:top w:val="none" w:sz="0" w:space="0" w:color="auto"/>
        <w:left w:val="none" w:sz="0" w:space="0" w:color="auto"/>
        <w:bottom w:val="none" w:sz="0" w:space="0" w:color="auto"/>
        <w:right w:val="none" w:sz="0" w:space="0" w:color="auto"/>
      </w:divBdr>
    </w:div>
    <w:div w:id="1837459522">
      <w:bodyDiv w:val="1"/>
      <w:marLeft w:val="0"/>
      <w:marRight w:val="0"/>
      <w:marTop w:val="0"/>
      <w:marBottom w:val="0"/>
      <w:divBdr>
        <w:top w:val="none" w:sz="0" w:space="0" w:color="auto"/>
        <w:left w:val="none" w:sz="0" w:space="0" w:color="auto"/>
        <w:bottom w:val="none" w:sz="0" w:space="0" w:color="auto"/>
        <w:right w:val="none" w:sz="0" w:space="0" w:color="auto"/>
      </w:divBdr>
    </w:div>
    <w:div w:id="1895966956">
      <w:bodyDiv w:val="1"/>
      <w:marLeft w:val="0"/>
      <w:marRight w:val="0"/>
      <w:marTop w:val="0"/>
      <w:marBottom w:val="0"/>
      <w:divBdr>
        <w:top w:val="none" w:sz="0" w:space="0" w:color="auto"/>
        <w:left w:val="none" w:sz="0" w:space="0" w:color="auto"/>
        <w:bottom w:val="none" w:sz="0" w:space="0" w:color="auto"/>
        <w:right w:val="none" w:sz="0" w:space="0" w:color="auto"/>
      </w:divBdr>
    </w:div>
    <w:div w:id="1927303897">
      <w:bodyDiv w:val="1"/>
      <w:marLeft w:val="0"/>
      <w:marRight w:val="0"/>
      <w:marTop w:val="0"/>
      <w:marBottom w:val="0"/>
      <w:divBdr>
        <w:top w:val="none" w:sz="0" w:space="0" w:color="auto"/>
        <w:left w:val="none" w:sz="0" w:space="0" w:color="auto"/>
        <w:bottom w:val="none" w:sz="0" w:space="0" w:color="auto"/>
        <w:right w:val="none" w:sz="0" w:space="0" w:color="auto"/>
      </w:divBdr>
    </w:div>
    <w:div w:id="1956985922">
      <w:bodyDiv w:val="1"/>
      <w:marLeft w:val="0"/>
      <w:marRight w:val="0"/>
      <w:marTop w:val="0"/>
      <w:marBottom w:val="0"/>
      <w:divBdr>
        <w:top w:val="none" w:sz="0" w:space="0" w:color="auto"/>
        <w:left w:val="none" w:sz="0" w:space="0" w:color="auto"/>
        <w:bottom w:val="none" w:sz="0" w:space="0" w:color="auto"/>
        <w:right w:val="none" w:sz="0" w:space="0" w:color="auto"/>
      </w:divBdr>
    </w:div>
    <w:div w:id="1974477504">
      <w:bodyDiv w:val="1"/>
      <w:marLeft w:val="0"/>
      <w:marRight w:val="0"/>
      <w:marTop w:val="0"/>
      <w:marBottom w:val="0"/>
      <w:divBdr>
        <w:top w:val="none" w:sz="0" w:space="0" w:color="auto"/>
        <w:left w:val="none" w:sz="0" w:space="0" w:color="auto"/>
        <w:bottom w:val="none" w:sz="0" w:space="0" w:color="auto"/>
        <w:right w:val="none" w:sz="0" w:space="0" w:color="auto"/>
      </w:divBdr>
    </w:div>
    <w:div w:id="1998263127">
      <w:bodyDiv w:val="1"/>
      <w:marLeft w:val="0"/>
      <w:marRight w:val="0"/>
      <w:marTop w:val="0"/>
      <w:marBottom w:val="0"/>
      <w:divBdr>
        <w:top w:val="none" w:sz="0" w:space="0" w:color="auto"/>
        <w:left w:val="none" w:sz="0" w:space="0" w:color="auto"/>
        <w:bottom w:val="none" w:sz="0" w:space="0" w:color="auto"/>
        <w:right w:val="none" w:sz="0" w:space="0" w:color="auto"/>
      </w:divBdr>
      <w:divsChild>
        <w:div w:id="652829746">
          <w:marLeft w:val="1800"/>
          <w:marRight w:val="0"/>
          <w:marTop w:val="100"/>
          <w:marBottom w:val="0"/>
          <w:divBdr>
            <w:top w:val="none" w:sz="0" w:space="0" w:color="auto"/>
            <w:left w:val="none" w:sz="0" w:space="0" w:color="auto"/>
            <w:bottom w:val="none" w:sz="0" w:space="0" w:color="auto"/>
            <w:right w:val="none" w:sz="0" w:space="0" w:color="auto"/>
          </w:divBdr>
        </w:div>
        <w:div w:id="690490771">
          <w:marLeft w:val="1080"/>
          <w:marRight w:val="0"/>
          <w:marTop w:val="100"/>
          <w:marBottom w:val="0"/>
          <w:divBdr>
            <w:top w:val="none" w:sz="0" w:space="0" w:color="auto"/>
            <w:left w:val="none" w:sz="0" w:space="0" w:color="auto"/>
            <w:bottom w:val="none" w:sz="0" w:space="0" w:color="auto"/>
            <w:right w:val="none" w:sz="0" w:space="0" w:color="auto"/>
          </w:divBdr>
        </w:div>
        <w:div w:id="1518082783">
          <w:marLeft w:val="2520"/>
          <w:marRight w:val="0"/>
          <w:marTop w:val="100"/>
          <w:marBottom w:val="0"/>
          <w:divBdr>
            <w:top w:val="none" w:sz="0" w:space="0" w:color="auto"/>
            <w:left w:val="none" w:sz="0" w:space="0" w:color="auto"/>
            <w:bottom w:val="none" w:sz="0" w:space="0" w:color="auto"/>
            <w:right w:val="none" w:sz="0" w:space="0" w:color="auto"/>
          </w:divBdr>
        </w:div>
        <w:div w:id="2074041423">
          <w:marLeft w:val="2520"/>
          <w:marRight w:val="0"/>
          <w:marTop w:val="100"/>
          <w:marBottom w:val="0"/>
          <w:divBdr>
            <w:top w:val="none" w:sz="0" w:space="0" w:color="auto"/>
            <w:left w:val="none" w:sz="0" w:space="0" w:color="auto"/>
            <w:bottom w:val="none" w:sz="0" w:space="0" w:color="auto"/>
            <w:right w:val="none" w:sz="0" w:space="0" w:color="auto"/>
          </w:divBdr>
        </w:div>
      </w:divsChild>
    </w:div>
    <w:div w:id="2010018564">
      <w:bodyDiv w:val="1"/>
      <w:marLeft w:val="0"/>
      <w:marRight w:val="0"/>
      <w:marTop w:val="0"/>
      <w:marBottom w:val="0"/>
      <w:divBdr>
        <w:top w:val="none" w:sz="0" w:space="0" w:color="auto"/>
        <w:left w:val="none" w:sz="0" w:space="0" w:color="auto"/>
        <w:bottom w:val="none" w:sz="0" w:space="0" w:color="auto"/>
        <w:right w:val="none" w:sz="0" w:space="0" w:color="auto"/>
      </w:divBdr>
    </w:div>
    <w:div w:id="2044285025">
      <w:bodyDiv w:val="1"/>
      <w:marLeft w:val="0"/>
      <w:marRight w:val="0"/>
      <w:marTop w:val="0"/>
      <w:marBottom w:val="0"/>
      <w:divBdr>
        <w:top w:val="none" w:sz="0" w:space="0" w:color="auto"/>
        <w:left w:val="none" w:sz="0" w:space="0" w:color="auto"/>
        <w:bottom w:val="none" w:sz="0" w:space="0" w:color="auto"/>
        <w:right w:val="none" w:sz="0" w:space="0" w:color="auto"/>
      </w:divBdr>
    </w:div>
    <w:div w:id="2062827481">
      <w:bodyDiv w:val="1"/>
      <w:marLeft w:val="0"/>
      <w:marRight w:val="0"/>
      <w:marTop w:val="0"/>
      <w:marBottom w:val="0"/>
      <w:divBdr>
        <w:top w:val="none" w:sz="0" w:space="0" w:color="auto"/>
        <w:left w:val="none" w:sz="0" w:space="0" w:color="auto"/>
        <w:bottom w:val="none" w:sz="0" w:space="0" w:color="auto"/>
        <w:right w:val="none" w:sz="0" w:space="0" w:color="auto"/>
      </w:divBdr>
    </w:div>
    <w:div w:id="2067491876">
      <w:bodyDiv w:val="1"/>
      <w:marLeft w:val="0"/>
      <w:marRight w:val="0"/>
      <w:marTop w:val="0"/>
      <w:marBottom w:val="0"/>
      <w:divBdr>
        <w:top w:val="none" w:sz="0" w:space="0" w:color="auto"/>
        <w:left w:val="none" w:sz="0" w:space="0" w:color="auto"/>
        <w:bottom w:val="none" w:sz="0" w:space="0" w:color="auto"/>
        <w:right w:val="none" w:sz="0" w:space="0" w:color="auto"/>
      </w:divBdr>
    </w:div>
    <w:div w:id="2100445539">
      <w:bodyDiv w:val="1"/>
      <w:marLeft w:val="0"/>
      <w:marRight w:val="0"/>
      <w:marTop w:val="0"/>
      <w:marBottom w:val="0"/>
      <w:divBdr>
        <w:top w:val="none" w:sz="0" w:space="0" w:color="auto"/>
        <w:left w:val="none" w:sz="0" w:space="0" w:color="auto"/>
        <w:bottom w:val="none" w:sz="0" w:space="0" w:color="auto"/>
        <w:right w:val="none" w:sz="0" w:space="0" w:color="auto"/>
      </w:divBdr>
    </w:div>
    <w:div w:id="2115005657">
      <w:bodyDiv w:val="1"/>
      <w:marLeft w:val="0"/>
      <w:marRight w:val="0"/>
      <w:marTop w:val="0"/>
      <w:marBottom w:val="0"/>
      <w:divBdr>
        <w:top w:val="none" w:sz="0" w:space="0" w:color="auto"/>
        <w:left w:val="none" w:sz="0" w:space="0" w:color="auto"/>
        <w:bottom w:val="none" w:sz="0" w:space="0" w:color="auto"/>
        <w:right w:val="none" w:sz="0" w:space="0" w:color="auto"/>
      </w:divBdr>
      <w:divsChild>
        <w:div w:id="38406003">
          <w:marLeft w:val="1800"/>
          <w:marRight w:val="0"/>
          <w:marTop w:val="100"/>
          <w:marBottom w:val="0"/>
          <w:divBdr>
            <w:top w:val="none" w:sz="0" w:space="0" w:color="auto"/>
            <w:left w:val="none" w:sz="0" w:space="0" w:color="auto"/>
            <w:bottom w:val="none" w:sz="0" w:space="0" w:color="auto"/>
            <w:right w:val="none" w:sz="0" w:space="0" w:color="auto"/>
          </w:divBdr>
        </w:div>
        <w:div w:id="256207858">
          <w:marLeft w:val="1800"/>
          <w:marRight w:val="0"/>
          <w:marTop w:val="100"/>
          <w:marBottom w:val="0"/>
          <w:divBdr>
            <w:top w:val="none" w:sz="0" w:space="0" w:color="auto"/>
            <w:left w:val="none" w:sz="0" w:space="0" w:color="auto"/>
            <w:bottom w:val="none" w:sz="0" w:space="0" w:color="auto"/>
            <w:right w:val="none" w:sz="0" w:space="0" w:color="auto"/>
          </w:divBdr>
        </w:div>
        <w:div w:id="614990439">
          <w:marLeft w:val="1080"/>
          <w:marRight w:val="0"/>
          <w:marTop w:val="100"/>
          <w:marBottom w:val="0"/>
          <w:divBdr>
            <w:top w:val="none" w:sz="0" w:space="0" w:color="auto"/>
            <w:left w:val="none" w:sz="0" w:space="0" w:color="auto"/>
            <w:bottom w:val="none" w:sz="0" w:space="0" w:color="auto"/>
            <w:right w:val="none" w:sz="0" w:space="0" w:color="auto"/>
          </w:divBdr>
        </w:div>
        <w:div w:id="1287814413">
          <w:marLeft w:val="1800"/>
          <w:marRight w:val="0"/>
          <w:marTop w:val="100"/>
          <w:marBottom w:val="0"/>
          <w:divBdr>
            <w:top w:val="none" w:sz="0" w:space="0" w:color="auto"/>
            <w:left w:val="none" w:sz="0" w:space="0" w:color="auto"/>
            <w:bottom w:val="none" w:sz="0" w:space="0" w:color="auto"/>
            <w:right w:val="none" w:sz="0" w:space="0" w:color="auto"/>
          </w:divBdr>
        </w:div>
        <w:div w:id="1891454831">
          <w:marLeft w:val="1800"/>
          <w:marRight w:val="0"/>
          <w:marTop w:val="100"/>
          <w:marBottom w:val="0"/>
          <w:divBdr>
            <w:top w:val="none" w:sz="0" w:space="0" w:color="auto"/>
            <w:left w:val="none" w:sz="0" w:space="0" w:color="auto"/>
            <w:bottom w:val="none" w:sz="0" w:space="0" w:color="auto"/>
            <w:right w:val="none" w:sz="0" w:space="0" w:color="auto"/>
          </w:divBdr>
        </w:div>
        <w:div w:id="2115592488">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cp20936"/>
  <w:optimizeForBrowser/>
  <w:allowPNG/>
  <w:pixelsPerInch w:val="144"/>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1925</Words>
  <Characters>10975</Characters>
  <Application>Microsoft Office Word</Application>
  <DocSecurity>0</DocSecurity>
  <Lines>91</Lines>
  <Paragraphs>25</Paragraphs>
  <ScaleCrop>false</ScaleCrop>
  <Company>Xiaomi</Company>
  <LinksUpToDate>false</LinksUpToDate>
  <CharactersWithSpaces>12875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Shengxiang Guo</dc:creator>
  <cp:keywords/>
  <cp:lastModifiedBy>Xiaomi</cp:lastModifiedBy>
  <cp:revision>2</cp:revision>
  <dcterms:created xsi:type="dcterms:W3CDTF">2024-11-08T05:57:00Z</dcterms:created>
  <dcterms:modified xsi:type="dcterms:W3CDTF">2024-11-08T05:57:00Z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2052-10.8.2.7027</vt:lpwstr>
  </property>
  <property fmtid="{D5CDD505-2E9C-101B-9397-08002B2CF9AE}" pid="4" name="CWM47c585709da011ef800075e0000075e0">
    <vt:lpwstr>CWMrK0riRjMOPGkdYsmWT5N0AZKqMBKvzY81JVMqx6ZJxEZFXcT+hSSh3cz67CAsY6JDuZoQv2BMoitDqepsNFW2g==</vt:lpwstr>
  </property>
</Properties>
</file>